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jc w:val="center"/>
        <w:rPr>
          <w:spacing w:val="10"/>
          <w:sz w:val="28"/>
        </w:rPr>
      </w:pPr>
      <w:bookmarkStart w:id="0" w:name="_GoBack"/>
      <w:bookmarkEnd w:id="0"/>
      <w:r>
        <w:rPr>
          <w:rFonts w:hint="eastAsia"/>
          <w:spacing w:val="10"/>
          <w:sz w:val="28"/>
        </w:rPr>
        <w:t>按</w:t>
      </w:r>
      <w:r>
        <w:rPr>
          <w:spacing w:val="10"/>
          <w:sz w:val="28"/>
        </w:rPr>
        <w:t>照《禁止酷刑和其他殘忍、不人道或有辱人格的待遇或處罰公約》第十九條規定提交的第三次定期報告</w:t>
      </w:r>
    </w:p>
    <w:p>
      <w:pPr>
        <w:pStyle w:val="2"/>
        <w:jc w:val="center"/>
        <w:rPr>
          <w:spacing w:val="10"/>
          <w:sz w:val="28"/>
        </w:rPr>
      </w:pPr>
      <w:r>
        <w:rPr>
          <w:spacing w:val="10"/>
          <w:sz w:val="28"/>
        </w:rPr>
        <w:t>附件</w:t>
      </w:r>
      <w:r>
        <w:rPr>
          <w:rFonts w:hint="eastAsia"/>
          <w:spacing w:val="10"/>
          <w:sz w:val="28"/>
        </w:rPr>
        <w:t>二</w:t>
      </w:r>
    </w:p>
    <w:p>
      <w:pPr>
        <w:jc w:val="center"/>
        <w:rPr>
          <w:rFonts w:ascii="Times New Roman" w:hAnsi="Times New Roman" w:cs="Times New Roman"/>
          <w:b/>
          <w:spacing w:val="10"/>
          <w:sz w:val="28"/>
          <w:szCs w:val="24"/>
          <w:lang/>
        </w:rPr>
      </w:pPr>
      <w:r>
        <w:rPr>
          <w:rFonts w:hint="eastAsia" w:ascii="Times New Roman" w:hAnsi="Times New Roman" w:cs="Times New Roman"/>
          <w:b/>
          <w:spacing w:val="10"/>
          <w:sz w:val="28"/>
          <w:szCs w:val="24"/>
        </w:rPr>
        <w:t>《</w:t>
      </w:r>
      <w:r>
        <w:rPr>
          <w:rFonts w:ascii="Times New Roman" w:hAnsi="Times New Roman" w:cs="Times New Roman"/>
          <w:b/>
          <w:spacing w:val="10"/>
          <w:sz w:val="28"/>
          <w:szCs w:val="24"/>
        </w:rPr>
        <w:t>打擊販賣人口措施及行動計劃</w:t>
      </w:r>
      <w:r>
        <w:rPr>
          <w:rFonts w:hint="eastAsia" w:ascii="Times New Roman" w:hAnsi="Times New Roman" w:cs="Times New Roman"/>
          <w:b/>
          <w:spacing w:val="10"/>
          <w:sz w:val="28"/>
          <w:szCs w:val="24"/>
        </w:rPr>
        <w:t>》</w:t>
      </w:r>
    </w:p>
    <w:p>
      <w:pPr>
        <w:rPr>
          <w:rFonts w:ascii="Times New Roman" w:hAnsi="Times New Roman" w:cs="Times New Roman"/>
          <w:b/>
          <w:spacing w:val="10"/>
          <w:sz w:val="24"/>
          <w:szCs w:val="24"/>
        </w:rPr>
      </w:pPr>
      <w:r>
        <w:rPr>
          <w:rFonts w:ascii="Times New Roman" w:hAnsi="Times New Roman" w:cs="Times New Roman"/>
          <w:b/>
          <w:spacing w:val="10"/>
          <w:sz w:val="24"/>
          <w:szCs w:val="24"/>
        </w:rPr>
        <w:t>概要</w:t>
      </w:r>
    </w:p>
    <w:p>
      <w:pPr>
        <w:ind w:firstLine="480"/>
        <w:jc w:val="both"/>
        <w:rPr>
          <w:rFonts w:ascii="Times New Roman" w:hAnsi="Times New Roman" w:cs="Times New Roman"/>
          <w:spacing w:val="10"/>
          <w:sz w:val="24"/>
          <w:szCs w:val="24"/>
          <w:lang/>
        </w:rPr>
      </w:pPr>
      <w:r>
        <w:rPr>
          <w:rFonts w:ascii="Times New Roman" w:hAnsi="Times New Roman" w:cs="Times New Roman"/>
          <w:spacing w:val="10"/>
          <w:sz w:val="24"/>
          <w:szCs w:val="24"/>
        </w:rPr>
        <w:t>預防及打擊販賣人口的工作由各政府部門按法定權限負責執行，根據澳門特區的年度施政方針，由保安司監督的阻嚇販賣人口措施關注委員會</w:t>
      </w:r>
      <w:r>
        <w:rPr>
          <w:rStyle w:val="13"/>
          <w:rFonts w:ascii="Times New Roman" w:hAnsi="Times New Roman" w:cs="Times New Roman"/>
          <w:spacing w:val="10"/>
          <w:sz w:val="24"/>
          <w:szCs w:val="24"/>
        </w:rPr>
        <w:t>（下稱</w:t>
      </w:r>
      <w:r>
        <w:rPr>
          <w:rStyle w:val="13"/>
          <w:rFonts w:hint="eastAsia" w:ascii="Times New Roman" w:hAnsi="Times New Roman" w:cs="Times New Roman"/>
          <w:spacing w:val="10"/>
          <w:sz w:val="24"/>
          <w:szCs w:val="24"/>
        </w:rPr>
        <w:t>“</w:t>
      </w:r>
      <w:r>
        <w:rPr>
          <w:rStyle w:val="13"/>
          <w:rFonts w:ascii="Times New Roman" w:hAnsi="Times New Roman" w:cs="Times New Roman"/>
          <w:spacing w:val="10"/>
          <w:sz w:val="24"/>
          <w:szCs w:val="24"/>
        </w:rPr>
        <w:t>委員會</w:t>
      </w:r>
      <w:r>
        <w:rPr>
          <w:rStyle w:val="13"/>
          <w:rFonts w:hint="eastAsia" w:ascii="Times New Roman" w:hAnsi="Times New Roman" w:cs="Times New Roman"/>
          <w:spacing w:val="10"/>
          <w:sz w:val="24"/>
          <w:szCs w:val="24"/>
        </w:rPr>
        <w:t>”</w:t>
      </w:r>
      <w:r>
        <w:rPr>
          <w:rStyle w:val="13"/>
          <w:rFonts w:ascii="Times New Roman" w:hAnsi="Times New Roman" w:cs="Times New Roman"/>
          <w:spacing w:val="10"/>
          <w:sz w:val="24"/>
          <w:szCs w:val="24"/>
        </w:rPr>
        <w:t>）負責協調各項關於</w:t>
      </w:r>
      <w:r>
        <w:rPr>
          <w:rFonts w:ascii="Times New Roman" w:hAnsi="Times New Roman" w:cs="Times New Roman"/>
          <w:spacing w:val="10"/>
          <w:sz w:val="24"/>
          <w:szCs w:val="24"/>
        </w:rPr>
        <w:t>預防及打擊販賣人口的工作。</w:t>
      </w:r>
    </w:p>
    <w:p>
      <w:pPr>
        <w:ind w:firstLine="480"/>
        <w:jc w:val="both"/>
        <w:rPr>
          <w:rFonts w:ascii="Times New Roman" w:hAnsi="Times New Roman" w:cs="Times New Roman"/>
          <w:spacing w:val="10"/>
          <w:sz w:val="24"/>
          <w:szCs w:val="24"/>
          <w:lang/>
        </w:rPr>
      </w:pPr>
      <w:r>
        <w:rPr>
          <w:rFonts w:ascii="Times New Roman" w:hAnsi="Times New Roman" w:cs="Times New Roman"/>
          <w:spacing w:val="10"/>
          <w:sz w:val="24"/>
          <w:szCs w:val="24"/>
        </w:rPr>
        <w:t>委員會的組成包括以下各部門的代表：</w:t>
      </w:r>
      <w:r>
        <w:rPr>
          <w:rFonts w:ascii="Times New Roman" w:hAnsi="Times New Roman" w:cs="Times New Roman"/>
          <w:snapToGrid w:val="0"/>
          <w:spacing w:val="10"/>
          <w:sz w:val="24"/>
          <w:szCs w:val="24"/>
        </w:rPr>
        <w:t>保安司司長辦公室、警察總局、澳門海關、法務局、勞工</w:t>
      </w:r>
      <w:r>
        <w:rPr>
          <w:rFonts w:hint="eastAsia" w:ascii="Times New Roman" w:hAnsi="Times New Roman" w:cs="Times New Roman"/>
          <w:snapToGrid w:val="0"/>
          <w:spacing w:val="10"/>
          <w:sz w:val="24"/>
          <w:szCs w:val="24"/>
        </w:rPr>
        <w:t>事務局（勞工</w:t>
      </w:r>
      <w:r>
        <w:rPr>
          <w:rFonts w:ascii="Times New Roman" w:hAnsi="Times New Roman" w:cs="Times New Roman"/>
          <w:snapToGrid w:val="0"/>
          <w:spacing w:val="10"/>
          <w:sz w:val="24"/>
          <w:szCs w:val="24"/>
        </w:rPr>
        <w:t>局</w:t>
      </w:r>
      <w:r>
        <w:rPr>
          <w:rFonts w:hint="eastAsia" w:ascii="Times New Roman" w:hAnsi="Times New Roman" w:cs="Times New Roman"/>
          <w:snapToGrid w:val="0"/>
          <w:spacing w:val="10"/>
          <w:sz w:val="24"/>
          <w:szCs w:val="24"/>
        </w:rPr>
        <w:t>）</w:t>
      </w:r>
      <w:r>
        <w:rPr>
          <w:rFonts w:ascii="Times New Roman" w:hAnsi="Times New Roman" w:cs="Times New Roman"/>
          <w:snapToGrid w:val="0"/>
          <w:spacing w:val="10"/>
          <w:sz w:val="24"/>
          <w:szCs w:val="24"/>
        </w:rPr>
        <w:t>、治安警察局、司</w:t>
      </w:r>
      <w:r>
        <w:rPr>
          <w:rFonts w:hint="eastAsia" w:ascii="Times New Roman" w:hAnsi="Times New Roman" w:cs="Times New Roman"/>
          <w:snapToGrid w:val="0"/>
          <w:spacing w:val="10"/>
          <w:sz w:val="24"/>
          <w:szCs w:val="24"/>
        </w:rPr>
        <w:t>法</w:t>
      </w:r>
      <w:r>
        <w:rPr>
          <w:rFonts w:ascii="Times New Roman" w:hAnsi="Times New Roman" w:cs="Times New Roman"/>
          <w:snapToGrid w:val="0"/>
          <w:spacing w:val="10"/>
          <w:sz w:val="24"/>
          <w:szCs w:val="24"/>
        </w:rPr>
        <w:t>警</w:t>
      </w:r>
      <w:r>
        <w:rPr>
          <w:rFonts w:hint="eastAsia" w:ascii="Times New Roman" w:hAnsi="Times New Roman" w:cs="Times New Roman"/>
          <w:snapToGrid w:val="0"/>
          <w:spacing w:val="10"/>
          <w:sz w:val="24"/>
          <w:szCs w:val="24"/>
        </w:rPr>
        <w:t>察</w:t>
      </w:r>
      <w:r>
        <w:rPr>
          <w:rFonts w:ascii="Times New Roman" w:hAnsi="Times New Roman" w:cs="Times New Roman"/>
          <w:snapToGrid w:val="0"/>
          <w:spacing w:val="10"/>
          <w:sz w:val="24"/>
          <w:szCs w:val="24"/>
        </w:rPr>
        <w:t>局</w:t>
      </w:r>
      <w:r>
        <w:rPr>
          <w:rFonts w:hint="eastAsia" w:ascii="Times New Roman" w:hAnsi="Times New Roman" w:cs="Times New Roman"/>
          <w:snapToGrid w:val="0"/>
          <w:spacing w:val="10"/>
          <w:sz w:val="24"/>
          <w:szCs w:val="24"/>
        </w:rPr>
        <w:t>（</w:t>
      </w:r>
      <w:r>
        <w:rPr>
          <w:rFonts w:ascii="Times New Roman" w:hAnsi="Times New Roman" w:cs="Times New Roman"/>
          <w:snapToGrid w:val="0"/>
          <w:spacing w:val="10"/>
          <w:sz w:val="24"/>
          <w:szCs w:val="24"/>
        </w:rPr>
        <w:t>司警局</w:t>
      </w:r>
      <w:r>
        <w:rPr>
          <w:rFonts w:hint="eastAsia" w:ascii="Times New Roman" w:hAnsi="Times New Roman" w:cs="Times New Roman"/>
          <w:snapToGrid w:val="0"/>
          <w:spacing w:val="10"/>
          <w:sz w:val="24"/>
          <w:szCs w:val="24"/>
        </w:rPr>
        <w:t>）</w:t>
      </w:r>
      <w:r>
        <w:rPr>
          <w:rFonts w:ascii="Times New Roman" w:hAnsi="Times New Roman" w:cs="Times New Roman"/>
          <w:snapToGrid w:val="0"/>
          <w:spacing w:val="10"/>
          <w:sz w:val="24"/>
          <w:szCs w:val="24"/>
        </w:rPr>
        <w:t>、衛生局及</w:t>
      </w:r>
      <w:r>
        <w:rPr>
          <w:rFonts w:hint="eastAsia" w:ascii="Times New Roman" w:hAnsi="Times New Roman" w:cs="Times New Roman"/>
          <w:snapToGrid w:val="0"/>
          <w:spacing w:val="10"/>
          <w:sz w:val="24"/>
          <w:szCs w:val="24"/>
        </w:rPr>
        <w:t>社會工作局（</w:t>
      </w:r>
      <w:r>
        <w:rPr>
          <w:rFonts w:ascii="Times New Roman" w:hAnsi="Times New Roman" w:cs="Times New Roman"/>
          <w:snapToGrid w:val="0"/>
          <w:spacing w:val="10"/>
          <w:sz w:val="24"/>
          <w:szCs w:val="24"/>
        </w:rPr>
        <w:t>社工局</w:t>
      </w:r>
      <w:r>
        <w:rPr>
          <w:rFonts w:hint="eastAsia" w:ascii="Times New Roman" w:hAnsi="Times New Roman" w:cs="Times New Roman"/>
          <w:snapToGrid w:val="0"/>
          <w:spacing w:val="10"/>
          <w:sz w:val="24"/>
          <w:szCs w:val="24"/>
        </w:rPr>
        <w:t>）</w:t>
      </w:r>
      <w:r>
        <w:rPr>
          <w:rFonts w:ascii="Times New Roman" w:hAnsi="Times New Roman" w:cs="Times New Roman"/>
          <w:spacing w:val="10"/>
          <w:sz w:val="24"/>
          <w:szCs w:val="24"/>
        </w:rPr>
        <w:t>。</w:t>
      </w:r>
    </w:p>
    <w:p>
      <w:pPr>
        <w:ind w:firstLine="360"/>
        <w:jc w:val="both"/>
        <w:rPr>
          <w:rFonts w:ascii="Times New Roman" w:hAnsi="Times New Roman" w:cs="Times New Roman"/>
          <w:spacing w:val="10"/>
          <w:sz w:val="24"/>
          <w:szCs w:val="24"/>
        </w:rPr>
      </w:pPr>
      <w:r>
        <w:rPr>
          <w:rFonts w:ascii="Times New Roman" w:hAnsi="Times New Roman" w:cs="Times New Roman"/>
          <w:spacing w:val="10"/>
          <w:sz w:val="24"/>
          <w:szCs w:val="24"/>
        </w:rPr>
        <w:t>通過下方各表，可展示澳門特區政府就預防及打擊販賣人口持續實施的各項措施。</w:t>
      </w:r>
    </w:p>
    <w:p>
      <w:pPr>
        <w:pStyle w:val="11"/>
        <w:numPr>
          <w:ilvl w:val="0"/>
          <w:numId w:val="1"/>
        </w:numPr>
        <w:rPr>
          <w:rFonts w:ascii="Times New Roman" w:hAnsi="Times New Roman"/>
          <w:b/>
          <w:spacing w:val="10"/>
          <w:sz w:val="24"/>
          <w:szCs w:val="24"/>
          <w:lang/>
        </w:rPr>
      </w:pPr>
      <w:r>
        <w:rPr>
          <w:rFonts w:ascii="Times New Roman" w:hAnsi="Times New Roman"/>
          <w:b/>
          <w:spacing w:val="10"/>
          <w:sz w:val="24"/>
          <w:szCs w:val="24"/>
          <w:lang/>
        </w:rPr>
        <w:t>預防及推廣活動</w:t>
      </w:r>
    </w:p>
    <w:tbl>
      <w:tblPr>
        <w:tblStyle w:val="20"/>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589"/>
        <w:gridCol w:w="3357"/>
        <w:gridCol w:w="1782"/>
        <w:gridCol w:w="1568"/>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496" w:hRule="atLeast"/>
          <w:tblHeader/>
          <w:jc w:val="center"/>
        </w:trPr>
        <w:tc>
          <w:tcPr>
            <w:tcW w:w="1589"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0"/>
                <w:lang/>
              </w:rPr>
            </w:pPr>
            <w:r>
              <w:rPr>
                <w:rFonts w:ascii="Times New Roman" w:hAnsi="Times New Roman" w:cs="Times New Roman"/>
                <w:b/>
                <w:spacing w:val="10"/>
                <w:kern w:val="0"/>
                <w:sz w:val="20"/>
                <w:szCs w:val="20"/>
                <w:lang/>
              </w:rPr>
              <w:t>項目</w:t>
            </w:r>
          </w:p>
        </w:tc>
        <w:tc>
          <w:tcPr>
            <w:tcW w:w="335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0"/>
                <w:lang/>
              </w:rPr>
            </w:pPr>
            <w:r>
              <w:rPr>
                <w:rFonts w:ascii="Times New Roman" w:hAnsi="Times New Roman" w:cs="Times New Roman"/>
                <w:b/>
                <w:spacing w:val="10"/>
                <w:kern w:val="0"/>
                <w:sz w:val="20"/>
                <w:szCs w:val="20"/>
                <w:lang/>
              </w:rPr>
              <w:t>描述</w:t>
            </w:r>
          </w:p>
        </w:tc>
        <w:tc>
          <w:tcPr>
            <w:tcW w:w="178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0"/>
                <w:lang/>
              </w:rPr>
            </w:pPr>
            <w:r>
              <w:rPr>
                <w:rFonts w:ascii="Times New Roman" w:hAnsi="Times New Roman" w:cs="Times New Roman"/>
                <w:b/>
                <w:spacing w:val="10"/>
                <w:kern w:val="0"/>
                <w:sz w:val="20"/>
                <w:szCs w:val="20"/>
                <w:lang/>
              </w:rPr>
              <w:t>執行部門</w:t>
            </w:r>
          </w:p>
        </w:tc>
        <w:tc>
          <w:tcPr>
            <w:tcW w:w="156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0"/>
                <w:lang/>
              </w:rPr>
            </w:pPr>
            <w:r>
              <w:rPr>
                <w:rFonts w:ascii="Times New Roman" w:hAnsi="Times New Roman" w:cs="Times New Roman"/>
                <w:b/>
                <w:spacing w:val="10"/>
                <w:kern w:val="0"/>
                <w:sz w:val="20"/>
                <w:szCs w:val="20"/>
                <w:lang/>
              </w:rPr>
              <w:t>時間表</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577" w:hRule="atLeast"/>
        </w:trPr>
        <w:tc>
          <w:tcPr>
            <w:tcW w:w="1589"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學生導向講座</w:t>
            </w:r>
          </w:p>
        </w:tc>
        <w:tc>
          <w:tcPr>
            <w:tcW w:w="3357"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每年於大學及中學舉辦約30場專題講座</w:t>
            </w:r>
            <w:r>
              <w:rPr>
                <w:rFonts w:hint="eastAsia" w:ascii="Times New Roman" w:hAnsi="Times New Roman" w:cs="Times New Roman"/>
                <w:spacing w:val="10"/>
                <w:kern w:val="0"/>
                <w:sz w:val="20"/>
                <w:szCs w:val="20"/>
                <w:lang/>
              </w:rPr>
              <w:t>及研討會</w:t>
            </w:r>
            <w:r>
              <w:rPr>
                <w:rFonts w:ascii="Times New Roman" w:hAnsi="Times New Roman" w:cs="Times New Roman"/>
                <w:spacing w:val="10"/>
                <w:kern w:val="0"/>
                <w:sz w:val="20"/>
                <w:szCs w:val="20"/>
                <w:lang/>
              </w:rPr>
              <w:t>，旨在傳播預防販賣人口的訊息，尤其關注防範求職期間的勞動剝削</w:t>
            </w:r>
            <w:r>
              <w:rPr>
                <w:rFonts w:hint="eastAsia" w:ascii="Times New Roman" w:hAnsi="Times New Roman" w:cs="Times New Roman"/>
                <w:spacing w:val="10"/>
                <w:kern w:val="0"/>
                <w:sz w:val="20"/>
                <w:szCs w:val="20"/>
                <w:lang/>
              </w:rPr>
              <w:t>。</w:t>
            </w:r>
          </w:p>
        </w:tc>
        <w:tc>
          <w:tcPr>
            <w:tcW w:w="1782" w:type="dxa"/>
            <w:vAlign w:val="center"/>
          </w:tcPr>
          <w:p>
            <w:pPr>
              <w:spacing w:line="240" w:lineRule="exact"/>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法務局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勞工局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治安警察局</w:t>
            </w:r>
          </w:p>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社工局</w:t>
            </w:r>
          </w:p>
        </w:tc>
        <w:tc>
          <w:tcPr>
            <w:tcW w:w="1568" w:type="dxa"/>
            <w:vAlign w:val="center"/>
          </w:tcPr>
          <w:p>
            <w:pPr>
              <w:ind w:left="-114" w:leftChars="-52" w:right="-66" w:rightChars="-30"/>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1589"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僱主/僱員導向講座</w:t>
            </w:r>
          </w:p>
        </w:tc>
        <w:tc>
          <w:tcPr>
            <w:tcW w:w="3357"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旨在促進勞資關係及提高勞動權利及義務，尤其關注外籍建築工人及家傭，以讓他們了解強迫勞動的各個方面及降低被剝削機會，預計參加部門每年向大約9000名人士開辦80場同類講座</w:t>
            </w:r>
            <w:r>
              <w:rPr>
                <w:rFonts w:hint="eastAsia" w:ascii="Times New Roman" w:hAnsi="Times New Roman" w:cs="Times New Roman"/>
                <w:spacing w:val="10"/>
                <w:kern w:val="0"/>
                <w:sz w:val="20"/>
                <w:szCs w:val="20"/>
                <w:lang/>
              </w:rPr>
              <w:t>。</w:t>
            </w:r>
          </w:p>
        </w:tc>
        <w:tc>
          <w:tcPr>
            <w:tcW w:w="1782" w:type="dxa"/>
            <w:vAlign w:val="center"/>
          </w:tcPr>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勞工局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法務局</w:t>
            </w:r>
          </w:p>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治安警察局</w:t>
            </w:r>
          </w:p>
        </w:tc>
        <w:tc>
          <w:tcPr>
            <w:tcW w:w="1568" w:type="dxa"/>
            <w:vAlign w:val="center"/>
          </w:tcPr>
          <w:p>
            <w:pPr>
              <w:ind w:left="-114" w:leftChars="-52" w:right="-66" w:rightChars="-30"/>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7" w:hRule="atLeast"/>
        </w:trPr>
        <w:tc>
          <w:tcPr>
            <w:tcW w:w="1589"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酒店從業員導向講座</w:t>
            </w:r>
          </w:p>
        </w:tc>
        <w:tc>
          <w:tcPr>
            <w:tcW w:w="3357"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應本地酒店業營運商的要求，由委員會各酒店從業員提供打擊販賣人口的講座，根據參加者的職級，介紹相關方面的法律知識或識別受害人技巧</w:t>
            </w:r>
            <w:r>
              <w:rPr>
                <w:rFonts w:hint="eastAsia" w:ascii="Times New Roman" w:hAnsi="Times New Roman" w:cs="Times New Roman"/>
                <w:spacing w:val="10"/>
                <w:kern w:val="0"/>
                <w:sz w:val="20"/>
                <w:szCs w:val="20"/>
                <w:lang/>
              </w:rPr>
              <w:t>。</w:t>
            </w:r>
          </w:p>
        </w:tc>
        <w:tc>
          <w:tcPr>
            <w:tcW w:w="1782" w:type="dxa"/>
            <w:vAlign w:val="center"/>
          </w:tcPr>
          <w:p>
            <w:pPr>
              <w:spacing w:line="240" w:lineRule="exact"/>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阻嚇販賣人口措施關注委員會</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勞工局</w:t>
            </w:r>
          </w:p>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治安警察局</w:t>
            </w:r>
          </w:p>
        </w:tc>
        <w:tc>
          <w:tcPr>
            <w:tcW w:w="1568" w:type="dxa"/>
            <w:vAlign w:val="center"/>
          </w:tcPr>
          <w:p>
            <w:pPr>
              <w:ind w:left="-114" w:leftChars="-52" w:right="-66" w:rightChars="-30"/>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499" w:hRule="atLeast"/>
        </w:trPr>
        <w:tc>
          <w:tcPr>
            <w:tcW w:w="1589"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航空業界導向講座</w:t>
            </w:r>
          </w:p>
        </w:tc>
        <w:tc>
          <w:tcPr>
            <w:tcW w:w="3357"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應國際民航公約的最新要求，成員國家/地區須向當地航空業界從業員提供打擊販賣人口的培訓，有關內容將有助機場及航空公司人員掌握預防及打擊販賣人口的技能，共同就遏止販賣人口付出貢獻</w:t>
            </w:r>
            <w:r>
              <w:rPr>
                <w:rFonts w:hint="eastAsia" w:ascii="Times New Roman" w:hAnsi="Times New Roman" w:cs="Times New Roman"/>
                <w:spacing w:val="10"/>
                <w:kern w:val="0"/>
                <w:sz w:val="20"/>
                <w:szCs w:val="20"/>
                <w:lang/>
              </w:rPr>
              <w:t>。</w:t>
            </w:r>
          </w:p>
        </w:tc>
        <w:tc>
          <w:tcPr>
            <w:tcW w:w="1782" w:type="dxa"/>
            <w:vAlign w:val="center"/>
          </w:tcPr>
          <w:p>
            <w:pPr>
              <w:spacing w:line="240" w:lineRule="exact"/>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阻嚇販賣人口措施關注委員會</w:t>
            </w:r>
          </w:p>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民航局</w:t>
            </w:r>
          </w:p>
        </w:tc>
        <w:tc>
          <w:tcPr>
            <w:tcW w:w="1568" w:type="dxa"/>
            <w:vAlign w:val="center"/>
          </w:tcPr>
          <w:p>
            <w:pPr>
              <w:ind w:left="-114" w:leftChars="-52" w:right="-66" w:rightChars="-30"/>
              <w:jc w:val="center"/>
              <w:rPr>
                <w:rFonts w:ascii="Times New Roman" w:hAnsi="Times New Roman" w:cs="Times New Roman"/>
                <w:spacing w:val="10"/>
                <w:kern w:val="0"/>
                <w:sz w:val="20"/>
                <w:szCs w:val="20"/>
                <w:lang/>
              </w:rPr>
            </w:pPr>
            <w:r>
              <w:rPr>
                <w:rFonts w:hint="eastAsia" w:ascii="Times New Roman" w:hAnsi="Times New Roman" w:cs="Times New Roman"/>
                <w:spacing w:val="10"/>
                <w:kern w:val="0"/>
                <w:sz w:val="20"/>
                <w:szCs w:val="20"/>
                <w:lang/>
              </w:rPr>
              <w:t>特別項目，尚待計劃開展</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472" w:hRule="atLeast"/>
        </w:trPr>
        <w:tc>
          <w:tcPr>
            <w:tcW w:w="1589"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入職及在職培訓</w:t>
            </w:r>
          </w:p>
        </w:tc>
        <w:tc>
          <w:tcPr>
            <w:tcW w:w="3357"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每年大約20場的培訓，旨在向各參加者定期提供關於販賣人口的最新理論及實務知識，內容包括法律知識、識別受害人技巧、轉介程序、個案處理等等</w:t>
            </w:r>
            <w:r>
              <w:rPr>
                <w:rFonts w:hint="eastAsia" w:ascii="Times New Roman" w:hAnsi="Times New Roman" w:cs="Times New Roman"/>
                <w:spacing w:val="10"/>
                <w:kern w:val="0"/>
                <w:sz w:val="20"/>
                <w:szCs w:val="20"/>
                <w:lang/>
              </w:rPr>
              <w:t>。</w:t>
            </w:r>
          </w:p>
        </w:tc>
        <w:tc>
          <w:tcPr>
            <w:tcW w:w="1782" w:type="dxa"/>
            <w:vAlign w:val="center"/>
          </w:tcPr>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法務局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勞工局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治安警察局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司警局</w:t>
            </w:r>
          </w:p>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社工局</w:t>
            </w:r>
          </w:p>
        </w:tc>
        <w:tc>
          <w:tcPr>
            <w:tcW w:w="1568" w:type="dxa"/>
            <w:vAlign w:val="center"/>
          </w:tcPr>
          <w:p>
            <w:pPr>
              <w:ind w:left="-114" w:leftChars="-52" w:right="-66" w:rightChars="-30"/>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257" w:hRule="atLeast"/>
        </w:trPr>
        <w:tc>
          <w:tcPr>
            <w:tcW w:w="1589"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電視、電台及大眾媒體傳播</w:t>
            </w:r>
          </w:p>
        </w:tc>
        <w:tc>
          <w:tcPr>
            <w:tcW w:w="3357"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透過利用大眾媒體，以廣告及諮詢性節目等方式向公眾散佈預防販賣人口的訊息</w:t>
            </w:r>
            <w:r>
              <w:rPr>
                <w:rFonts w:hint="eastAsia" w:ascii="Times New Roman" w:hAnsi="Times New Roman" w:cs="Times New Roman"/>
                <w:spacing w:val="10"/>
                <w:kern w:val="0"/>
                <w:sz w:val="20"/>
                <w:szCs w:val="20"/>
                <w:lang/>
              </w:rPr>
              <w:t>。</w:t>
            </w:r>
          </w:p>
        </w:tc>
        <w:tc>
          <w:tcPr>
            <w:tcW w:w="1782" w:type="dxa"/>
            <w:vAlign w:val="center"/>
          </w:tcPr>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法務局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勞工事務局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治安警察局</w:t>
            </w:r>
          </w:p>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社工局</w:t>
            </w:r>
          </w:p>
        </w:tc>
        <w:tc>
          <w:tcPr>
            <w:tcW w:w="1568" w:type="dxa"/>
            <w:vAlign w:val="center"/>
          </w:tcPr>
          <w:p>
            <w:pPr>
              <w:ind w:left="-114" w:leftChars="-52" w:right="-66" w:rightChars="-30"/>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2413" w:hRule="atLeast"/>
        </w:trPr>
        <w:tc>
          <w:tcPr>
            <w:tcW w:w="1589"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小冊子及海報</w:t>
            </w:r>
          </w:p>
        </w:tc>
        <w:tc>
          <w:tcPr>
            <w:tcW w:w="3357"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利用簡易明白的及定期更新的宣傳品，宣傳24小時舉報及求助熱線及勞工局的24小時諮詢熱線，有關物品於各類型活動中派發，本地居民亦可於口岸、政府部門及非政府組織辦公地點索取</w:t>
            </w:r>
            <w:r>
              <w:rPr>
                <w:rFonts w:hint="eastAsia" w:ascii="Times New Roman" w:hAnsi="Times New Roman" w:cs="Times New Roman"/>
                <w:spacing w:val="10"/>
                <w:kern w:val="0"/>
                <w:sz w:val="20"/>
                <w:szCs w:val="20"/>
                <w:lang/>
              </w:rPr>
              <w:t>。</w:t>
            </w:r>
          </w:p>
        </w:tc>
        <w:tc>
          <w:tcPr>
            <w:tcW w:w="1782" w:type="dxa"/>
            <w:vAlign w:val="center"/>
          </w:tcPr>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阻嚇販賣人口措施關注委員會</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澳門海關</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法務局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勞工局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治安警察局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司警局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社工局</w:t>
            </w:r>
          </w:p>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衛生局</w:t>
            </w:r>
          </w:p>
        </w:tc>
        <w:tc>
          <w:tcPr>
            <w:tcW w:w="1568" w:type="dxa"/>
            <w:vAlign w:val="center"/>
          </w:tcPr>
          <w:p>
            <w:pPr>
              <w:ind w:left="-114" w:leftChars="-52" w:right="-66" w:rightChars="-30"/>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07" w:hRule="atLeast"/>
        </w:trPr>
        <w:tc>
          <w:tcPr>
            <w:tcW w:w="1589"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預防巡查</w:t>
            </w:r>
          </w:p>
        </w:tc>
        <w:tc>
          <w:tcPr>
            <w:tcW w:w="3357"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以定期及突擊方式對娛樂場所、建築地盤及職業介紹所等不同地點進行巡查，採用這種預防性手段，可及早識別性剝削及勞動剝削受害人，以及非法勞工或偷渡人士</w:t>
            </w:r>
            <w:r>
              <w:rPr>
                <w:rFonts w:hint="eastAsia" w:ascii="Times New Roman" w:hAnsi="Times New Roman" w:cs="Times New Roman"/>
                <w:spacing w:val="10"/>
                <w:kern w:val="0"/>
                <w:sz w:val="20"/>
                <w:szCs w:val="20"/>
                <w:lang/>
              </w:rPr>
              <w:t>。</w:t>
            </w:r>
          </w:p>
        </w:tc>
        <w:tc>
          <w:tcPr>
            <w:tcW w:w="1782" w:type="dxa"/>
            <w:vAlign w:val="center"/>
          </w:tcPr>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澳門海關</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勞工局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治安警察局</w:t>
            </w:r>
          </w:p>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司警局</w:t>
            </w:r>
          </w:p>
        </w:tc>
        <w:tc>
          <w:tcPr>
            <w:tcW w:w="1568" w:type="dxa"/>
            <w:vAlign w:val="center"/>
          </w:tcPr>
          <w:p>
            <w:pPr>
              <w:ind w:left="-114" w:leftChars="-52" w:right="-66" w:rightChars="-30"/>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33" w:hRule="atLeast"/>
        </w:trPr>
        <w:tc>
          <w:tcPr>
            <w:tcW w:w="1589"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社區警務</w:t>
            </w:r>
          </w:p>
        </w:tc>
        <w:tc>
          <w:tcPr>
            <w:tcW w:w="3357"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透過警方社區聯絡員及社區代表建立密切的關係，於城市各個角落散佈防罪滅罪的訊息</w:t>
            </w:r>
            <w:r>
              <w:rPr>
                <w:rFonts w:hint="eastAsia" w:ascii="Times New Roman" w:hAnsi="Times New Roman" w:cs="Times New Roman"/>
                <w:spacing w:val="10"/>
                <w:kern w:val="0"/>
                <w:sz w:val="20"/>
                <w:szCs w:val="20"/>
                <w:lang/>
              </w:rPr>
              <w:t>。</w:t>
            </w:r>
          </w:p>
        </w:tc>
        <w:tc>
          <w:tcPr>
            <w:tcW w:w="1782" w:type="dxa"/>
            <w:vAlign w:val="center"/>
          </w:tcPr>
          <w:p>
            <w:pPr>
              <w:spacing w:line="240" w:lineRule="exact"/>
              <w:jc w:val="center"/>
              <w:rPr>
                <w:rFonts w:ascii="Times New Roman" w:hAnsi="Times New Roman" w:cs="Times New Roman"/>
                <w:snapToGrid w:val="0"/>
                <w:spacing w:val="10"/>
                <w:kern w:val="0"/>
                <w:sz w:val="20"/>
                <w:szCs w:val="20"/>
                <w:lang/>
              </w:rPr>
            </w:pPr>
            <w:r>
              <w:rPr>
                <w:rFonts w:hint="eastAsia" w:ascii="Times New Roman" w:hAnsi="Times New Roman" w:cs="Times New Roman"/>
                <w:snapToGrid w:val="0"/>
                <w:spacing w:val="10"/>
                <w:kern w:val="0"/>
                <w:sz w:val="20"/>
                <w:szCs w:val="20"/>
                <w:lang/>
              </w:rPr>
              <w:t>澳門海關</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治安警察局</w:t>
            </w:r>
          </w:p>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司警局</w:t>
            </w:r>
          </w:p>
        </w:tc>
        <w:tc>
          <w:tcPr>
            <w:tcW w:w="1568" w:type="dxa"/>
            <w:vAlign w:val="center"/>
          </w:tcPr>
          <w:p>
            <w:pPr>
              <w:ind w:left="-114" w:leftChars="-52" w:right="-66" w:rightChars="-30"/>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614" w:hRule="atLeast"/>
        </w:trPr>
        <w:tc>
          <w:tcPr>
            <w:tcW w:w="1589"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修改《發出准照予職業介紹所之制度》</w:t>
            </w:r>
          </w:p>
        </w:tc>
        <w:tc>
          <w:tcPr>
            <w:tcW w:w="3357" w:type="dxa"/>
            <w:vAlign w:val="center"/>
          </w:tcPr>
          <w:p>
            <w:pPr>
              <w:jc w:val="both"/>
              <w:rPr>
                <w:rFonts w:ascii="Times New Roman" w:hAnsi="Times New Roman" w:cs="Times New Roman"/>
                <w:spacing w:val="10"/>
                <w:kern w:val="0"/>
                <w:sz w:val="20"/>
                <w:szCs w:val="20"/>
                <w:lang/>
              </w:rPr>
            </w:pPr>
            <w:r>
              <w:rPr>
                <w:rFonts w:hint="eastAsia" w:ascii="Times New Roman" w:hAnsi="Times New Roman" w:cs="Times New Roman"/>
                <w:snapToGrid w:val="0"/>
                <w:spacing w:val="10"/>
                <w:kern w:val="0"/>
                <w:sz w:val="20"/>
                <w:szCs w:val="20"/>
                <w:lang/>
              </w:rPr>
              <w:t>透過第</w:t>
            </w:r>
            <w:r>
              <w:rPr>
                <w:rFonts w:ascii="Times New Roman" w:hAnsi="Times New Roman" w:cs="Times New Roman"/>
                <w:snapToGrid w:val="0"/>
                <w:spacing w:val="10"/>
                <w:kern w:val="0"/>
                <w:sz w:val="20"/>
                <w:szCs w:val="20"/>
                <w:lang/>
              </w:rPr>
              <w:t>16/2020</w:t>
            </w:r>
            <w:r>
              <w:rPr>
                <w:rFonts w:hint="eastAsia" w:ascii="Times New Roman" w:hAnsi="Times New Roman" w:cs="Times New Roman"/>
                <w:snapToGrid w:val="0"/>
                <w:spacing w:val="10"/>
                <w:kern w:val="0"/>
                <w:sz w:val="20"/>
                <w:szCs w:val="20"/>
                <w:lang/>
              </w:rPr>
              <w:t>號法律《職業介紹所業務法》引入就業服務指導員制度，要求相關從業人員必須在擔任職務前通過由勞工局舉行的職業技能測試，考核內容包括打擊及遏止販賣人口的法律及相關規定</w:t>
            </w:r>
            <w:r>
              <w:rPr>
                <w:rFonts w:hint="eastAsia" w:ascii="Times New Roman" w:hAnsi="Times New Roman" w:cs="Times New Roman"/>
                <w:spacing w:val="10"/>
                <w:kern w:val="0"/>
                <w:sz w:val="20"/>
                <w:szCs w:val="20"/>
                <w:lang/>
              </w:rPr>
              <w:t>。</w:t>
            </w:r>
          </w:p>
        </w:tc>
        <w:tc>
          <w:tcPr>
            <w:tcW w:w="1782"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勞工局</w:t>
            </w:r>
          </w:p>
        </w:tc>
        <w:tc>
          <w:tcPr>
            <w:tcW w:w="1568" w:type="dxa"/>
            <w:vAlign w:val="center"/>
          </w:tcPr>
          <w:p>
            <w:pPr>
              <w:ind w:left="-114" w:leftChars="-52" w:right="-66" w:rightChars="-30"/>
              <w:jc w:val="center"/>
              <w:rPr>
                <w:rFonts w:ascii="Times New Roman" w:hAnsi="Times New Roman" w:cs="Times New Roman"/>
                <w:spacing w:val="10"/>
                <w:kern w:val="0"/>
                <w:sz w:val="20"/>
                <w:szCs w:val="20"/>
                <w:lang/>
              </w:rPr>
            </w:pPr>
            <w:r>
              <w:rPr>
                <w:rFonts w:hint="eastAsia" w:ascii="Times New Roman" w:hAnsi="Times New Roman" w:cs="Times New Roman"/>
                <w:snapToGrid w:val="0"/>
                <w:spacing w:val="10"/>
                <w:kern w:val="0"/>
                <w:sz w:val="20"/>
                <w:szCs w:val="20"/>
                <w:lang/>
              </w:rPr>
              <w:t>新法於</w:t>
            </w:r>
            <w:r>
              <w:rPr>
                <w:rFonts w:ascii="Times New Roman" w:hAnsi="Times New Roman" w:cs="Times New Roman"/>
                <w:snapToGrid w:val="0"/>
                <w:spacing w:val="10"/>
                <w:kern w:val="0"/>
                <w:sz w:val="20"/>
                <w:szCs w:val="20"/>
                <w:lang/>
              </w:rPr>
              <w:t>2020</w:t>
            </w:r>
            <w:r>
              <w:rPr>
                <w:rFonts w:hint="eastAsia" w:ascii="Times New Roman" w:hAnsi="Times New Roman" w:cs="Times New Roman"/>
                <w:snapToGrid w:val="0"/>
                <w:spacing w:val="10"/>
                <w:kern w:val="0"/>
                <w:sz w:val="20"/>
                <w:szCs w:val="20"/>
                <w:lang/>
              </w:rPr>
              <w:t>年</w:t>
            </w:r>
            <w:r>
              <w:rPr>
                <w:rFonts w:ascii="Times New Roman" w:hAnsi="Times New Roman" w:cs="Times New Roman"/>
                <w:snapToGrid w:val="0"/>
                <w:spacing w:val="10"/>
                <w:kern w:val="0"/>
                <w:sz w:val="20"/>
                <w:szCs w:val="20"/>
                <w:lang/>
              </w:rPr>
              <w:t>9</w:t>
            </w:r>
            <w:r>
              <w:rPr>
                <w:rFonts w:hint="eastAsia" w:ascii="Times New Roman" w:hAnsi="Times New Roman" w:cs="Times New Roman"/>
                <w:snapToGrid w:val="0"/>
                <w:spacing w:val="10"/>
                <w:kern w:val="0"/>
                <w:sz w:val="20"/>
                <w:szCs w:val="20"/>
                <w:lang/>
              </w:rPr>
              <w:t>月公佈，並於</w:t>
            </w:r>
            <w:r>
              <w:rPr>
                <w:rFonts w:ascii="Times New Roman" w:hAnsi="Times New Roman" w:cs="Times New Roman"/>
                <w:snapToGrid w:val="0"/>
                <w:spacing w:val="10"/>
                <w:kern w:val="0"/>
                <w:sz w:val="20"/>
                <w:szCs w:val="20"/>
                <w:lang/>
              </w:rPr>
              <w:t>2021</w:t>
            </w:r>
            <w:r>
              <w:rPr>
                <w:rFonts w:hint="eastAsia" w:ascii="Times New Roman" w:hAnsi="Times New Roman" w:cs="Times New Roman"/>
                <w:snapToGrid w:val="0"/>
                <w:spacing w:val="10"/>
                <w:kern w:val="0"/>
                <w:sz w:val="20"/>
                <w:szCs w:val="20"/>
                <w:lang/>
              </w:rPr>
              <w:t>年</w:t>
            </w:r>
            <w:r>
              <w:rPr>
                <w:rFonts w:ascii="Times New Roman" w:hAnsi="Times New Roman" w:cs="Times New Roman"/>
                <w:snapToGrid w:val="0"/>
                <w:spacing w:val="10"/>
                <w:kern w:val="0"/>
                <w:sz w:val="20"/>
                <w:szCs w:val="20"/>
                <w:lang/>
              </w:rPr>
              <w:t>3</w:t>
            </w:r>
            <w:r>
              <w:rPr>
                <w:rFonts w:hint="eastAsia" w:ascii="Times New Roman" w:hAnsi="Times New Roman" w:cs="Times New Roman"/>
                <w:snapToGrid w:val="0"/>
                <w:spacing w:val="10"/>
                <w:kern w:val="0"/>
                <w:sz w:val="20"/>
                <w:szCs w:val="20"/>
                <w:lang/>
              </w:rPr>
              <w:t>月</w:t>
            </w:r>
            <w:r>
              <w:rPr>
                <w:rFonts w:ascii="Times New Roman" w:hAnsi="Times New Roman" w:cs="Times New Roman"/>
                <w:snapToGrid w:val="0"/>
                <w:spacing w:val="10"/>
                <w:kern w:val="0"/>
                <w:sz w:val="20"/>
                <w:szCs w:val="20"/>
                <w:lang/>
              </w:rPr>
              <w:t>15</w:t>
            </w:r>
            <w:r>
              <w:rPr>
                <w:rFonts w:hint="eastAsia" w:ascii="Times New Roman" w:hAnsi="Times New Roman" w:cs="Times New Roman"/>
                <w:snapToGrid w:val="0"/>
                <w:spacing w:val="10"/>
                <w:kern w:val="0"/>
                <w:sz w:val="20"/>
                <w:szCs w:val="20"/>
                <w:lang/>
              </w:rPr>
              <w:t>日起生效</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823" w:hRule="atLeast"/>
        </w:trPr>
        <w:tc>
          <w:tcPr>
            <w:tcW w:w="1589"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優化防止販賣器官小組</w:t>
            </w:r>
          </w:p>
        </w:tc>
        <w:tc>
          <w:tcPr>
            <w:tcW w:w="3357"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繼續優化有關工作小組，以便就宣傳預防非法販賣人體器官提供意見，另外，小組亦會為執法部門提供打擊非法器官移植及識別非法人體器官及組織出入口的指引</w:t>
            </w:r>
            <w:r>
              <w:rPr>
                <w:rFonts w:hint="eastAsia" w:ascii="Times New Roman" w:hAnsi="Times New Roman" w:cs="Times New Roman"/>
                <w:spacing w:val="10"/>
                <w:kern w:val="0"/>
                <w:sz w:val="20"/>
                <w:szCs w:val="20"/>
                <w:lang/>
              </w:rPr>
              <w:t>，在推廣正常器官捐贈的同時，向市民宣傳販賣器官屬違法行為。</w:t>
            </w:r>
          </w:p>
        </w:tc>
        <w:tc>
          <w:tcPr>
            <w:tcW w:w="1782" w:type="dxa"/>
            <w:vAlign w:val="center"/>
          </w:tcPr>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澳門海關</w:t>
            </w:r>
          </w:p>
          <w:p>
            <w:pPr>
              <w:spacing w:line="240" w:lineRule="exact"/>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阻嚇販賣人口措施關注委員會</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衛生局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治安警察局</w:t>
            </w:r>
          </w:p>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司警局</w:t>
            </w:r>
          </w:p>
        </w:tc>
        <w:tc>
          <w:tcPr>
            <w:tcW w:w="1568" w:type="dxa"/>
            <w:vAlign w:val="center"/>
          </w:tcPr>
          <w:p>
            <w:pPr>
              <w:ind w:left="-114" w:leftChars="-52" w:right="-66" w:rightChars="-30"/>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bl>
    <w:p>
      <w:pPr>
        <w:rPr>
          <w:rFonts w:ascii="Times New Roman" w:hAnsi="Times New Roman" w:cs="Times New Roman"/>
          <w:spacing w:val="10"/>
          <w:sz w:val="24"/>
          <w:szCs w:val="24"/>
          <w:lang/>
        </w:rPr>
      </w:pPr>
    </w:p>
    <w:p>
      <w:pPr>
        <w:pStyle w:val="11"/>
        <w:widowControl w:val="0"/>
        <w:numPr>
          <w:ilvl w:val="0"/>
          <w:numId w:val="1"/>
        </w:numPr>
        <w:spacing w:after="180" w:afterLines="50" w:line="240" w:lineRule="auto"/>
        <w:ind w:left="388" w:hanging="388" w:hangingChars="149"/>
        <w:rPr>
          <w:rFonts w:ascii="Times New Roman" w:hAnsi="Times New Roman"/>
          <w:b/>
          <w:spacing w:val="10"/>
          <w:sz w:val="24"/>
          <w:szCs w:val="24"/>
          <w:lang/>
        </w:rPr>
      </w:pPr>
      <w:r>
        <w:rPr>
          <w:rFonts w:ascii="Times New Roman" w:hAnsi="Times New Roman"/>
          <w:b/>
          <w:spacing w:val="10"/>
          <w:sz w:val="24"/>
          <w:szCs w:val="24"/>
          <w:lang w:eastAsia="zh-TW"/>
        </w:rPr>
        <w:t>警務行動</w:t>
      </w:r>
    </w:p>
    <w:tbl>
      <w:tblPr>
        <w:tblStyle w:val="20"/>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606"/>
        <w:gridCol w:w="3531"/>
        <w:gridCol w:w="1591"/>
        <w:gridCol w:w="1568"/>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68" w:hRule="atLeast"/>
          <w:tblHeader/>
          <w:jc w:val="center"/>
        </w:trPr>
        <w:tc>
          <w:tcPr>
            <w:tcW w:w="160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0"/>
                <w:lang/>
              </w:rPr>
            </w:pPr>
            <w:r>
              <w:rPr>
                <w:rFonts w:ascii="Times New Roman" w:hAnsi="Times New Roman" w:cs="Times New Roman"/>
                <w:b/>
                <w:spacing w:val="10"/>
                <w:kern w:val="0"/>
                <w:sz w:val="20"/>
                <w:szCs w:val="20"/>
                <w:lang/>
              </w:rPr>
              <w:t>項目</w:t>
            </w:r>
          </w:p>
        </w:tc>
        <w:tc>
          <w:tcPr>
            <w:tcW w:w="353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0"/>
                <w:lang/>
              </w:rPr>
            </w:pPr>
            <w:r>
              <w:rPr>
                <w:rFonts w:ascii="Times New Roman" w:hAnsi="Times New Roman" w:cs="Times New Roman"/>
                <w:b/>
                <w:spacing w:val="10"/>
                <w:kern w:val="0"/>
                <w:sz w:val="20"/>
                <w:szCs w:val="20"/>
                <w:lang/>
              </w:rPr>
              <w:t>描述</w:t>
            </w:r>
          </w:p>
        </w:tc>
        <w:tc>
          <w:tcPr>
            <w:tcW w:w="159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0"/>
                <w:lang/>
              </w:rPr>
            </w:pPr>
            <w:r>
              <w:rPr>
                <w:rFonts w:ascii="Times New Roman" w:hAnsi="Times New Roman" w:cs="Times New Roman"/>
                <w:b/>
                <w:spacing w:val="10"/>
                <w:kern w:val="0"/>
                <w:sz w:val="20"/>
                <w:szCs w:val="20"/>
                <w:lang/>
              </w:rPr>
              <w:t>執行部門</w:t>
            </w:r>
          </w:p>
        </w:tc>
        <w:tc>
          <w:tcPr>
            <w:tcW w:w="156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0"/>
                <w:lang/>
              </w:rPr>
            </w:pPr>
            <w:r>
              <w:rPr>
                <w:rFonts w:ascii="Times New Roman" w:hAnsi="Times New Roman" w:cs="Times New Roman"/>
                <w:b/>
                <w:spacing w:val="10"/>
                <w:kern w:val="0"/>
                <w:sz w:val="20"/>
                <w:szCs w:val="20"/>
                <w:lang/>
              </w:rPr>
              <w:t>時間表</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606"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雷霆行動</w:t>
            </w:r>
          </w:p>
        </w:tc>
        <w:tc>
          <w:tcPr>
            <w:tcW w:w="3531"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雷霆行動為一個粵港澳三地警方</w:t>
            </w:r>
            <w:r>
              <w:rPr>
                <w:rFonts w:hint="eastAsia" w:ascii="Times New Roman" w:hAnsi="Times New Roman" w:cs="Times New Roman"/>
                <w:spacing w:val="10"/>
                <w:kern w:val="0"/>
                <w:sz w:val="20"/>
                <w:szCs w:val="20"/>
                <w:lang/>
              </w:rPr>
              <w:t>每年</w:t>
            </w:r>
            <w:r>
              <w:rPr>
                <w:rFonts w:ascii="Times New Roman" w:hAnsi="Times New Roman" w:cs="Times New Roman"/>
                <w:spacing w:val="10"/>
                <w:kern w:val="0"/>
                <w:sz w:val="20"/>
                <w:szCs w:val="20"/>
                <w:lang/>
              </w:rPr>
              <w:t>於非特定時段進行的聯合行動，行動期間可因應治安情況有所調整</w:t>
            </w:r>
            <w:r>
              <w:rPr>
                <w:rFonts w:hint="eastAsia" w:ascii="Times New Roman" w:hAnsi="Times New Roman" w:cs="Times New Roman"/>
                <w:spacing w:val="10"/>
                <w:kern w:val="0"/>
                <w:sz w:val="20"/>
                <w:szCs w:val="20"/>
                <w:lang/>
              </w:rPr>
              <w:t>，一般持續1至</w:t>
            </w:r>
            <w:r>
              <w:rPr>
                <w:rFonts w:ascii="Times New Roman" w:hAnsi="Times New Roman" w:cs="Times New Roman"/>
                <w:spacing w:val="10"/>
                <w:kern w:val="0"/>
                <w:sz w:val="20"/>
                <w:szCs w:val="20"/>
                <w:lang/>
              </w:rPr>
              <w:t>3個月</w:t>
            </w:r>
            <w:r>
              <w:rPr>
                <w:rFonts w:hint="eastAsia" w:ascii="Times New Roman" w:hAnsi="Times New Roman" w:cs="Times New Roman"/>
                <w:spacing w:val="10"/>
                <w:kern w:val="0"/>
                <w:sz w:val="20"/>
                <w:szCs w:val="20"/>
                <w:lang/>
              </w:rPr>
              <w:t>，當中</w:t>
            </w:r>
            <w:r>
              <w:rPr>
                <w:rFonts w:ascii="Times New Roman" w:hAnsi="Times New Roman" w:cs="Times New Roman"/>
                <w:spacing w:val="10"/>
                <w:kern w:val="0"/>
                <w:sz w:val="20"/>
                <w:szCs w:val="20"/>
                <w:lang/>
              </w:rPr>
              <w:t>包括暑期在內，主要目標為打擊有組織及跨境犯罪活動</w:t>
            </w:r>
            <w:r>
              <w:rPr>
                <w:rFonts w:hint="eastAsia" w:ascii="Times New Roman" w:hAnsi="Times New Roman" w:cs="Times New Roman"/>
                <w:spacing w:val="10"/>
                <w:kern w:val="0"/>
                <w:sz w:val="20"/>
                <w:szCs w:val="20"/>
                <w:lang/>
              </w:rPr>
              <w:t>。</w:t>
            </w:r>
            <w:r>
              <w:rPr>
                <w:rFonts w:ascii="Times New Roman" w:hAnsi="Times New Roman" w:cs="Times New Roman"/>
                <w:spacing w:val="10"/>
                <w:kern w:val="0"/>
                <w:sz w:val="20"/>
                <w:szCs w:val="20"/>
                <w:lang/>
              </w:rPr>
              <w:t>行動期間，警方對賭場、桑拿、卡拉OK、夜總會、酒吧及娛樂場所等高風險場所進行突擊巡查</w:t>
            </w:r>
            <w:r>
              <w:rPr>
                <w:rFonts w:hint="eastAsia" w:ascii="Times New Roman" w:hAnsi="Times New Roman" w:cs="Times New Roman"/>
                <w:spacing w:val="10"/>
                <w:kern w:val="0"/>
                <w:sz w:val="20"/>
                <w:szCs w:val="20"/>
                <w:lang/>
              </w:rPr>
              <w:t>。</w:t>
            </w:r>
          </w:p>
        </w:tc>
        <w:tc>
          <w:tcPr>
            <w:tcW w:w="1591" w:type="dxa"/>
            <w:vAlign w:val="center"/>
          </w:tcPr>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警察總局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澳門海關</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治安警察局</w:t>
            </w:r>
          </w:p>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司警局</w:t>
            </w:r>
          </w:p>
        </w:tc>
        <w:tc>
          <w:tcPr>
            <w:tcW w:w="1568"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062" w:hRule="atLeast"/>
        </w:trPr>
        <w:tc>
          <w:tcPr>
            <w:tcW w:w="1606"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冬防行動</w:t>
            </w:r>
          </w:p>
        </w:tc>
        <w:tc>
          <w:tcPr>
            <w:tcW w:w="3531"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於農曆迎年期間，警方進行為期一個月的反罪惡行動，以打擊常發生於社區</w:t>
            </w:r>
            <w:r>
              <w:rPr>
                <w:rFonts w:hint="eastAsia" w:ascii="Times New Roman" w:hAnsi="Times New Roman" w:cs="Times New Roman"/>
                <w:spacing w:val="10"/>
                <w:kern w:val="0"/>
                <w:sz w:val="20"/>
                <w:szCs w:val="20"/>
                <w:lang/>
              </w:rPr>
              <w:t>和主要旅遊景點</w:t>
            </w:r>
            <w:r>
              <w:rPr>
                <w:rFonts w:ascii="Times New Roman" w:hAnsi="Times New Roman" w:cs="Times New Roman"/>
                <w:spacing w:val="10"/>
                <w:kern w:val="0"/>
                <w:sz w:val="20"/>
                <w:szCs w:val="20"/>
                <w:lang/>
              </w:rPr>
              <w:t>的季節性犯罪</w:t>
            </w:r>
            <w:r>
              <w:rPr>
                <w:rFonts w:hint="eastAsia" w:ascii="Times New Roman" w:hAnsi="Times New Roman" w:cs="Times New Roman"/>
                <w:spacing w:val="10"/>
                <w:kern w:val="0"/>
                <w:sz w:val="20"/>
                <w:szCs w:val="20"/>
                <w:lang/>
              </w:rPr>
              <w:t>，同時透過宣傳，提升市民及遊客的防罪意識。</w:t>
            </w:r>
          </w:p>
        </w:tc>
        <w:tc>
          <w:tcPr>
            <w:tcW w:w="1591" w:type="dxa"/>
            <w:vAlign w:val="center"/>
          </w:tcPr>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警察總局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澳門海關</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治安警察局</w:t>
            </w:r>
          </w:p>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司警局</w:t>
            </w:r>
          </w:p>
        </w:tc>
        <w:tc>
          <w:tcPr>
            <w:tcW w:w="1568"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724" w:hRule="atLeast"/>
        </w:trPr>
        <w:tc>
          <w:tcPr>
            <w:tcW w:w="1606" w:type="dxa"/>
            <w:vAlign w:val="center"/>
          </w:tcPr>
          <w:p>
            <w:pPr>
              <w:jc w:val="center"/>
              <w:rPr>
                <w:rStyle w:val="13"/>
                <w:rFonts w:ascii="Times New Roman" w:hAnsi="Times New Roman" w:cs="Times New Roman"/>
                <w:spacing w:val="10"/>
                <w:kern w:val="0"/>
                <w:sz w:val="20"/>
                <w:szCs w:val="20"/>
                <w:lang/>
              </w:rPr>
            </w:pPr>
            <w:r>
              <w:rPr>
                <w:rFonts w:hint="eastAsia" w:ascii="Times New Roman" w:hAnsi="Times New Roman" w:cs="Times New Roman"/>
                <w:spacing w:val="10"/>
                <w:kern w:val="0"/>
                <w:sz w:val="20"/>
                <w:szCs w:val="20"/>
                <w:lang/>
              </w:rPr>
              <w:t>反罪惡行動</w:t>
            </w:r>
          </w:p>
        </w:tc>
        <w:tc>
          <w:tcPr>
            <w:tcW w:w="3531" w:type="dxa"/>
            <w:vAlign w:val="center"/>
          </w:tcPr>
          <w:p>
            <w:pPr>
              <w:jc w:val="both"/>
              <w:rPr>
                <w:rFonts w:ascii="Times New Roman" w:hAnsi="Times New Roman" w:cs="Times New Roman"/>
                <w:spacing w:val="10"/>
                <w:kern w:val="0"/>
                <w:sz w:val="20"/>
                <w:szCs w:val="20"/>
                <w:lang/>
              </w:rPr>
            </w:pPr>
            <w:r>
              <w:rPr>
                <w:rFonts w:hint="eastAsia" w:ascii="Times New Roman" w:hAnsi="Times New Roman" w:cs="Times New Roman"/>
                <w:spacing w:val="10"/>
                <w:kern w:val="0"/>
                <w:sz w:val="20"/>
                <w:szCs w:val="20"/>
                <w:lang/>
              </w:rPr>
              <w:t>因應治安形勢變化，警方適時開展聯合打擊行動，針對性地對特定目標場所或地點進行突擊巡查，旨在淨化治安環境。</w:t>
            </w:r>
          </w:p>
        </w:tc>
        <w:tc>
          <w:tcPr>
            <w:tcW w:w="1591" w:type="dxa"/>
            <w:vAlign w:val="center"/>
          </w:tcPr>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警察總局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澳門海關</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治安警察局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司警局</w:t>
            </w:r>
          </w:p>
        </w:tc>
        <w:tc>
          <w:tcPr>
            <w:tcW w:w="1568"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724" w:hRule="atLeast"/>
        </w:trPr>
        <w:tc>
          <w:tcPr>
            <w:tcW w:w="1606" w:type="dxa"/>
            <w:vAlign w:val="center"/>
          </w:tcPr>
          <w:p>
            <w:pPr>
              <w:jc w:val="center"/>
              <w:rPr>
                <w:rFonts w:ascii="Times New Roman" w:hAnsi="Times New Roman" w:cs="Times New Roman"/>
                <w:spacing w:val="10"/>
                <w:kern w:val="0"/>
                <w:sz w:val="20"/>
                <w:szCs w:val="20"/>
                <w:lang/>
              </w:rPr>
            </w:pPr>
            <w:r>
              <w:rPr>
                <w:rStyle w:val="13"/>
                <w:rFonts w:ascii="Times New Roman" w:hAnsi="Times New Roman" w:cs="Times New Roman"/>
                <w:spacing w:val="10"/>
                <w:kern w:val="0"/>
                <w:sz w:val="20"/>
                <w:szCs w:val="20"/>
                <w:lang/>
              </w:rPr>
              <w:t>反偷渡工作聯防機制</w:t>
            </w:r>
          </w:p>
        </w:tc>
        <w:tc>
          <w:tcPr>
            <w:tcW w:w="3531"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於2015年10月設立，</w:t>
            </w:r>
            <w:r>
              <w:rPr>
                <w:rStyle w:val="13"/>
                <w:rFonts w:ascii="Times New Roman" w:hAnsi="Times New Roman" w:cs="Times New Roman"/>
                <w:spacing w:val="10"/>
                <w:kern w:val="0"/>
                <w:sz w:val="20"/>
                <w:szCs w:val="20"/>
                <w:lang/>
              </w:rPr>
              <w:t>反偷渡工作聯防機制旨在打擊偷渡活動，透過3個警察部門及海關進行情報分享，分別於水陸兩路堵截人蛇，繼而調查及瓦解操控相關不法活動的犯罪團伙</w:t>
            </w:r>
            <w:r>
              <w:rPr>
                <w:rFonts w:hint="eastAsia" w:ascii="Times New Roman" w:hAnsi="Times New Roman" w:cs="Times New Roman"/>
                <w:spacing w:val="10"/>
                <w:kern w:val="0"/>
                <w:sz w:val="20"/>
                <w:szCs w:val="20"/>
                <w:lang/>
              </w:rPr>
              <w:t>。</w:t>
            </w:r>
          </w:p>
        </w:tc>
        <w:tc>
          <w:tcPr>
            <w:tcW w:w="1591" w:type="dxa"/>
            <w:vAlign w:val="center"/>
          </w:tcPr>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警察總局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澳門海關</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治安警察局</w:t>
            </w:r>
          </w:p>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司警局</w:t>
            </w:r>
          </w:p>
        </w:tc>
        <w:tc>
          <w:tcPr>
            <w:tcW w:w="1568"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915" w:hRule="atLeast"/>
        </w:trPr>
        <w:tc>
          <w:tcPr>
            <w:tcW w:w="1606" w:type="dxa"/>
            <w:vAlign w:val="center"/>
          </w:tcPr>
          <w:p>
            <w:pPr>
              <w:jc w:val="center"/>
              <w:rPr>
                <w:rStyle w:val="13"/>
                <w:rFonts w:ascii="Times New Roman" w:hAnsi="Times New Roman" w:cs="Times New Roman"/>
                <w:spacing w:val="10"/>
                <w:kern w:val="0"/>
                <w:sz w:val="20"/>
                <w:szCs w:val="20"/>
                <w:lang/>
              </w:rPr>
            </w:pPr>
            <w:r>
              <w:rPr>
                <w:rFonts w:hint="eastAsia" w:ascii="DFKai-SB" w:hAnsi="DFKai-SB" w:eastAsia="DFKai-SB"/>
                <w:kern w:val="0"/>
                <w:sz w:val="20"/>
                <w:szCs w:val="20"/>
                <w:lang/>
              </w:rPr>
              <w:t>“</w:t>
            </w:r>
            <w:r>
              <w:rPr>
                <w:rStyle w:val="13"/>
                <w:rFonts w:hint="eastAsia" w:ascii="Times New Roman" w:hAnsi="Times New Roman" w:cs="Times New Roman"/>
                <w:spacing w:val="10"/>
                <w:kern w:val="0"/>
                <w:sz w:val="20"/>
                <w:szCs w:val="20"/>
                <w:lang/>
              </w:rPr>
              <w:t>點對點”聯勤協作機制</w:t>
            </w:r>
          </w:p>
        </w:tc>
        <w:tc>
          <w:tcPr>
            <w:tcW w:w="3531" w:type="dxa"/>
            <w:vAlign w:val="center"/>
          </w:tcPr>
          <w:p>
            <w:pPr>
              <w:jc w:val="both"/>
              <w:rPr>
                <w:rFonts w:ascii="Times New Roman" w:hAnsi="Times New Roman" w:cs="Times New Roman"/>
                <w:spacing w:val="10"/>
                <w:kern w:val="0"/>
                <w:sz w:val="20"/>
                <w:szCs w:val="20"/>
                <w:lang/>
              </w:rPr>
            </w:pPr>
            <w:r>
              <w:rPr>
                <w:rFonts w:hint="eastAsia" w:ascii="Times New Roman" w:hAnsi="Times New Roman" w:cs="Times New Roman"/>
                <w:spacing w:val="10"/>
                <w:kern w:val="0"/>
                <w:sz w:val="20"/>
                <w:szCs w:val="20"/>
                <w:lang/>
              </w:rPr>
              <w:t>與內地執法單位保持實時信息通報，利用“點對點”聯勤協作機制，透過點對點進行動態信息互換，及時掌握情況變化、雙方配合調度警力，實現聯防、聯勤協作及警力互補，共同打擊偷渡等各種不法活動。</w:t>
            </w:r>
          </w:p>
        </w:tc>
        <w:tc>
          <w:tcPr>
            <w:tcW w:w="1591" w:type="dxa"/>
            <w:vAlign w:val="center"/>
          </w:tcPr>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澳門海關</w:t>
            </w:r>
          </w:p>
        </w:tc>
        <w:tc>
          <w:tcPr>
            <w:tcW w:w="1568"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915" w:hRule="atLeast"/>
        </w:trPr>
        <w:tc>
          <w:tcPr>
            <w:tcW w:w="1606" w:type="dxa"/>
            <w:vAlign w:val="center"/>
          </w:tcPr>
          <w:p>
            <w:pPr>
              <w:jc w:val="center"/>
              <w:rPr>
                <w:rFonts w:ascii="Times New Roman" w:hAnsi="Times New Roman" w:cs="Times New Roman"/>
                <w:spacing w:val="10"/>
                <w:kern w:val="0"/>
                <w:sz w:val="20"/>
                <w:szCs w:val="20"/>
                <w:lang/>
              </w:rPr>
            </w:pPr>
            <w:r>
              <w:rPr>
                <w:rStyle w:val="13"/>
                <w:rFonts w:ascii="Times New Roman" w:hAnsi="Times New Roman" w:cs="Times New Roman"/>
                <w:spacing w:val="10"/>
                <w:kern w:val="0"/>
                <w:sz w:val="20"/>
                <w:szCs w:val="20"/>
                <w:lang/>
              </w:rPr>
              <w:t>販賣人口受害人再入境預警機制</w:t>
            </w:r>
          </w:p>
        </w:tc>
        <w:tc>
          <w:tcPr>
            <w:tcW w:w="3531"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透過建立載有已識別受害人個人資料的數據庫，於有關人士第二次進入本澳時向出入境櫃台警員作出提示，及後由司警人員進行調查，以防止有關人士被再度販賣</w:t>
            </w:r>
            <w:r>
              <w:rPr>
                <w:rFonts w:hint="eastAsia" w:ascii="Times New Roman" w:hAnsi="Times New Roman" w:cs="Times New Roman"/>
                <w:spacing w:val="10"/>
                <w:kern w:val="0"/>
                <w:sz w:val="20"/>
                <w:szCs w:val="20"/>
                <w:lang/>
              </w:rPr>
              <w:t>。</w:t>
            </w:r>
          </w:p>
        </w:tc>
        <w:tc>
          <w:tcPr>
            <w:tcW w:w="1591" w:type="dxa"/>
            <w:vAlign w:val="center"/>
          </w:tcPr>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治安警察局</w:t>
            </w:r>
          </w:p>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司警局</w:t>
            </w:r>
          </w:p>
        </w:tc>
        <w:tc>
          <w:tcPr>
            <w:tcW w:w="1568"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c>
          <w:tcPr>
            <w:tcW w:w="1606" w:type="dxa"/>
            <w:vAlign w:val="center"/>
          </w:tcPr>
          <w:p>
            <w:pPr>
              <w:jc w:val="center"/>
              <w:rPr>
                <w:rFonts w:ascii="Times New Roman" w:hAnsi="Times New Roman" w:cs="Times New Roman"/>
                <w:spacing w:val="10"/>
                <w:kern w:val="0"/>
                <w:sz w:val="20"/>
                <w:szCs w:val="20"/>
                <w:lang/>
              </w:rPr>
            </w:pPr>
            <w:r>
              <w:rPr>
                <w:rStyle w:val="13"/>
                <w:rFonts w:ascii="Times New Roman" w:hAnsi="Times New Roman" w:cs="Times New Roman"/>
                <w:spacing w:val="10"/>
                <w:kern w:val="0"/>
                <w:sz w:val="20"/>
                <w:szCs w:val="20"/>
                <w:lang/>
              </w:rPr>
              <w:t>24小時特別巡邏特遣隊</w:t>
            </w:r>
          </w:p>
        </w:tc>
        <w:tc>
          <w:tcPr>
            <w:tcW w:w="3531"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由司警成立的</w:t>
            </w:r>
            <w:r>
              <w:rPr>
                <w:rStyle w:val="13"/>
                <w:rFonts w:ascii="Times New Roman" w:hAnsi="Times New Roman" w:cs="Times New Roman"/>
                <w:spacing w:val="10"/>
                <w:kern w:val="0"/>
                <w:sz w:val="20"/>
                <w:szCs w:val="20"/>
                <w:lang/>
              </w:rPr>
              <w:t>特別巡邏特遣隊，於酒店及賭場外圍進行</w:t>
            </w:r>
            <w:r>
              <w:rPr>
                <w:rFonts w:ascii="Times New Roman" w:hAnsi="Times New Roman" w:cs="Times New Roman"/>
                <w:spacing w:val="10"/>
                <w:kern w:val="0"/>
                <w:sz w:val="20"/>
                <w:szCs w:val="20"/>
                <w:lang/>
              </w:rPr>
              <w:t>全天候巡邏，以淨化有關地點及遏止性商業活動</w:t>
            </w:r>
            <w:r>
              <w:rPr>
                <w:rFonts w:hint="eastAsia" w:ascii="Times New Roman" w:hAnsi="Times New Roman" w:cs="Times New Roman"/>
                <w:spacing w:val="10"/>
                <w:kern w:val="0"/>
                <w:sz w:val="20"/>
                <w:szCs w:val="20"/>
                <w:lang/>
              </w:rPr>
              <w:t>。</w:t>
            </w:r>
          </w:p>
        </w:tc>
        <w:tc>
          <w:tcPr>
            <w:tcW w:w="1591"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司警局</w:t>
            </w:r>
          </w:p>
        </w:tc>
        <w:tc>
          <w:tcPr>
            <w:tcW w:w="1568"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944" w:hRule="atLeast"/>
        </w:trPr>
        <w:tc>
          <w:tcPr>
            <w:tcW w:w="1606"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酒店營運商通報機制</w:t>
            </w:r>
          </w:p>
        </w:tc>
        <w:tc>
          <w:tcPr>
            <w:tcW w:w="3531"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為遏止性商業及兒童色情活動，警方及酒店業界設立了常設的通報機制，該機制要求酒店</w:t>
            </w:r>
            <w:r>
              <w:rPr>
                <w:rFonts w:hint="eastAsia" w:ascii="Times New Roman" w:hAnsi="Times New Roman" w:cs="Times New Roman"/>
                <w:spacing w:val="10"/>
                <w:kern w:val="0"/>
                <w:sz w:val="20"/>
                <w:szCs w:val="20"/>
                <w:lang/>
              </w:rPr>
              <w:t>營運者</w:t>
            </w:r>
            <w:r>
              <w:rPr>
                <w:rFonts w:ascii="Times New Roman" w:hAnsi="Times New Roman" w:cs="Times New Roman"/>
                <w:spacing w:val="10"/>
                <w:kern w:val="0"/>
                <w:sz w:val="20"/>
                <w:szCs w:val="20"/>
                <w:lang/>
              </w:rPr>
              <w:t>在發現任何懷疑被販賣的人士時立即向警方通報，以便及時採取適當的措施</w:t>
            </w:r>
            <w:r>
              <w:rPr>
                <w:rFonts w:hint="eastAsia" w:ascii="Times New Roman" w:hAnsi="Times New Roman" w:cs="Times New Roman"/>
                <w:spacing w:val="10"/>
                <w:kern w:val="0"/>
                <w:sz w:val="20"/>
                <w:szCs w:val="20"/>
                <w:lang/>
              </w:rPr>
              <w:t>。</w:t>
            </w:r>
          </w:p>
        </w:tc>
        <w:tc>
          <w:tcPr>
            <w:tcW w:w="1591"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治安警察局</w:t>
            </w:r>
          </w:p>
        </w:tc>
        <w:tc>
          <w:tcPr>
            <w:tcW w:w="1568"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587" w:hRule="atLeast"/>
        </w:trPr>
        <w:tc>
          <w:tcPr>
            <w:tcW w:w="1606"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其他</w:t>
            </w:r>
          </w:p>
        </w:tc>
        <w:tc>
          <w:tcPr>
            <w:tcW w:w="3531" w:type="dxa"/>
            <w:vAlign w:val="center"/>
          </w:tcPr>
          <w:p>
            <w:pPr>
              <w:jc w:val="both"/>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除了日常的執法行動，</w:t>
            </w:r>
            <w:r>
              <w:rPr>
                <w:rFonts w:hint="eastAsia" w:ascii="Times New Roman" w:hAnsi="Times New Roman" w:cs="Times New Roman"/>
                <w:spacing w:val="10"/>
                <w:kern w:val="0"/>
                <w:sz w:val="20"/>
                <w:szCs w:val="20"/>
                <w:lang/>
              </w:rPr>
              <w:t>警方在特殊情況下也會增派人手。如</w:t>
            </w:r>
            <w:r>
              <w:rPr>
                <w:rFonts w:ascii="Times New Roman" w:hAnsi="Times New Roman" w:cs="Times New Roman"/>
                <w:spacing w:val="10"/>
                <w:kern w:val="0"/>
                <w:sz w:val="20"/>
                <w:szCs w:val="20"/>
                <w:lang/>
              </w:rPr>
              <w:t>警方會於5月及10月兩個“黃金週”、澳門格蘭披治大賽車、特別節日及各類大型活動期間增加警力，同時，政府持續注視治安情勢，以便適時調查有關應對措施</w:t>
            </w:r>
            <w:r>
              <w:rPr>
                <w:rFonts w:hint="eastAsia" w:ascii="Times New Roman" w:hAnsi="Times New Roman" w:cs="Times New Roman"/>
                <w:spacing w:val="10"/>
                <w:kern w:val="0"/>
                <w:sz w:val="20"/>
                <w:szCs w:val="20"/>
                <w:lang/>
              </w:rPr>
              <w:t>。</w:t>
            </w:r>
          </w:p>
        </w:tc>
        <w:tc>
          <w:tcPr>
            <w:tcW w:w="1591" w:type="dxa"/>
            <w:vAlign w:val="center"/>
          </w:tcPr>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警察總局</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澳門海關</w:t>
            </w:r>
          </w:p>
          <w:p>
            <w:pPr>
              <w:spacing w:line="240" w:lineRule="exact"/>
              <w:jc w:val="center"/>
              <w:rPr>
                <w:rFonts w:ascii="Times New Roman" w:hAnsi="Times New Roman" w:cs="Times New Roman"/>
                <w:snapToGrid w:val="0"/>
                <w:spacing w:val="10"/>
                <w:kern w:val="0"/>
                <w:sz w:val="20"/>
                <w:szCs w:val="20"/>
                <w:lang/>
              </w:rPr>
            </w:pPr>
            <w:r>
              <w:rPr>
                <w:rFonts w:ascii="Times New Roman" w:hAnsi="Times New Roman" w:cs="Times New Roman"/>
                <w:snapToGrid w:val="0"/>
                <w:spacing w:val="10"/>
                <w:kern w:val="0"/>
                <w:sz w:val="20"/>
                <w:szCs w:val="20"/>
                <w:lang/>
              </w:rPr>
              <w:t>治安警察局</w:t>
            </w:r>
          </w:p>
          <w:p>
            <w:pPr>
              <w:jc w:val="center"/>
              <w:rPr>
                <w:rFonts w:ascii="Times New Roman" w:hAnsi="Times New Roman" w:cs="Times New Roman"/>
                <w:spacing w:val="10"/>
                <w:kern w:val="0"/>
                <w:sz w:val="20"/>
                <w:szCs w:val="20"/>
                <w:lang/>
              </w:rPr>
            </w:pPr>
            <w:r>
              <w:rPr>
                <w:rFonts w:ascii="Times New Roman" w:hAnsi="Times New Roman" w:cs="Times New Roman"/>
                <w:snapToGrid w:val="0"/>
                <w:spacing w:val="10"/>
                <w:kern w:val="0"/>
                <w:sz w:val="20"/>
                <w:szCs w:val="20"/>
                <w:lang/>
              </w:rPr>
              <w:t>司警局</w:t>
            </w:r>
          </w:p>
        </w:tc>
        <w:tc>
          <w:tcPr>
            <w:tcW w:w="1568" w:type="dxa"/>
            <w:vAlign w:val="center"/>
          </w:tcPr>
          <w:p>
            <w:pPr>
              <w:jc w:val="center"/>
              <w:rPr>
                <w:rFonts w:ascii="Times New Roman" w:hAnsi="Times New Roman" w:cs="Times New Roman"/>
                <w:spacing w:val="10"/>
                <w:kern w:val="0"/>
                <w:sz w:val="20"/>
                <w:szCs w:val="20"/>
                <w:lang/>
              </w:rPr>
            </w:pPr>
            <w:r>
              <w:rPr>
                <w:rFonts w:ascii="Times New Roman" w:hAnsi="Times New Roman" w:cs="Times New Roman"/>
                <w:spacing w:val="10"/>
                <w:kern w:val="0"/>
                <w:sz w:val="20"/>
                <w:szCs w:val="20"/>
                <w:lang/>
              </w:rPr>
              <w:t>恆常</w:t>
            </w:r>
          </w:p>
        </w:tc>
      </w:tr>
    </w:tbl>
    <w:p>
      <w:pPr>
        <w:pStyle w:val="11"/>
        <w:widowControl w:val="0"/>
        <w:spacing w:after="180" w:afterLines="50" w:line="240" w:lineRule="auto"/>
        <w:ind w:left="360"/>
        <w:rPr>
          <w:rFonts w:ascii="Times New Roman" w:hAnsi="Times New Roman"/>
          <w:b/>
          <w:spacing w:val="10"/>
          <w:sz w:val="24"/>
          <w:szCs w:val="24"/>
          <w:lang/>
        </w:rPr>
      </w:pPr>
    </w:p>
    <w:p>
      <w:pPr>
        <w:pStyle w:val="11"/>
        <w:widowControl w:val="0"/>
        <w:numPr>
          <w:ilvl w:val="0"/>
          <w:numId w:val="1"/>
        </w:numPr>
        <w:spacing w:after="180" w:afterLines="50" w:line="240" w:lineRule="auto"/>
        <w:rPr>
          <w:rFonts w:ascii="Times New Roman" w:hAnsi="Times New Roman"/>
          <w:b/>
          <w:spacing w:val="10"/>
          <w:sz w:val="24"/>
          <w:szCs w:val="24"/>
          <w:lang/>
        </w:rPr>
      </w:pPr>
      <w:r>
        <w:rPr>
          <w:rFonts w:ascii="Times New Roman" w:hAnsi="Times New Roman"/>
          <w:b/>
          <w:spacing w:val="10"/>
          <w:sz w:val="24"/>
          <w:szCs w:val="24"/>
          <w:lang w:eastAsia="zh-TW"/>
        </w:rPr>
        <w:t>受</w:t>
      </w:r>
      <w:r>
        <w:rPr>
          <w:rFonts w:ascii="Times New Roman" w:hAnsi="Times New Roman"/>
          <w:b/>
          <w:spacing w:val="10"/>
          <w:sz w:val="24"/>
          <w:szCs w:val="24"/>
          <w:lang/>
        </w:rPr>
        <w:t>害人保護</w:t>
      </w:r>
    </w:p>
    <w:tbl>
      <w:tblPr>
        <w:tblStyle w:val="20"/>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483"/>
        <w:gridCol w:w="3561"/>
        <w:gridCol w:w="1684"/>
        <w:gridCol w:w="1568"/>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68" w:hRule="atLeast"/>
          <w:tblHeader/>
          <w:jc w:val="center"/>
        </w:trPr>
        <w:tc>
          <w:tcPr>
            <w:tcW w:w="148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4"/>
                <w:lang/>
              </w:rPr>
            </w:pPr>
            <w:r>
              <w:rPr>
                <w:rFonts w:ascii="Times New Roman" w:hAnsi="Times New Roman" w:cs="Times New Roman"/>
                <w:b/>
                <w:spacing w:val="10"/>
                <w:kern w:val="0"/>
                <w:sz w:val="20"/>
                <w:szCs w:val="24"/>
                <w:lang/>
              </w:rPr>
              <w:t>項目</w:t>
            </w:r>
          </w:p>
        </w:tc>
        <w:tc>
          <w:tcPr>
            <w:tcW w:w="356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4"/>
                <w:lang/>
              </w:rPr>
            </w:pPr>
            <w:r>
              <w:rPr>
                <w:rFonts w:ascii="Times New Roman" w:hAnsi="Times New Roman" w:cs="Times New Roman"/>
                <w:b/>
                <w:spacing w:val="10"/>
                <w:kern w:val="0"/>
                <w:sz w:val="20"/>
                <w:szCs w:val="24"/>
                <w:lang/>
              </w:rPr>
              <w:t>描述</w:t>
            </w:r>
          </w:p>
        </w:tc>
        <w:tc>
          <w:tcPr>
            <w:tcW w:w="1684"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4"/>
                <w:lang/>
              </w:rPr>
            </w:pPr>
            <w:r>
              <w:rPr>
                <w:rFonts w:ascii="Times New Roman" w:hAnsi="Times New Roman" w:cs="Times New Roman"/>
                <w:b/>
                <w:spacing w:val="10"/>
                <w:kern w:val="0"/>
                <w:sz w:val="20"/>
                <w:szCs w:val="24"/>
                <w:lang/>
              </w:rPr>
              <w:t>執行部門</w:t>
            </w:r>
          </w:p>
        </w:tc>
        <w:tc>
          <w:tcPr>
            <w:tcW w:w="1568"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4"/>
                <w:lang/>
              </w:rPr>
            </w:pPr>
            <w:r>
              <w:rPr>
                <w:rFonts w:ascii="Times New Roman" w:hAnsi="Times New Roman" w:cs="Times New Roman"/>
                <w:b/>
                <w:spacing w:val="10"/>
                <w:kern w:val="0"/>
                <w:sz w:val="20"/>
                <w:szCs w:val="24"/>
                <w:lang/>
              </w:rPr>
              <w:t>時間表</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468" w:hRule="atLeast"/>
        </w:trPr>
        <w:tc>
          <w:tcPr>
            <w:tcW w:w="1483"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整體受害人護理</w:t>
            </w:r>
          </w:p>
        </w:tc>
        <w:tc>
          <w:tcPr>
            <w:tcW w:w="3561" w:type="dxa"/>
            <w:vAlign w:val="center"/>
          </w:tcPr>
          <w:p>
            <w:pPr>
              <w:jc w:val="both"/>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向受害人提供一系列的支援措施，包括住宿、醫療、財政資助、心理輔導、</w:t>
            </w:r>
            <w:r>
              <w:rPr>
                <w:rFonts w:hint="eastAsia" w:ascii="Times New Roman" w:hAnsi="Times New Roman" w:cs="Times New Roman"/>
                <w:spacing w:val="10"/>
                <w:kern w:val="0"/>
                <w:sz w:val="20"/>
                <w:szCs w:val="24"/>
                <w:lang/>
              </w:rPr>
              <w:t>藥物治療、</w:t>
            </w:r>
            <w:r>
              <w:rPr>
                <w:rFonts w:ascii="Times New Roman" w:hAnsi="Times New Roman" w:cs="Times New Roman"/>
                <w:spacing w:val="10"/>
                <w:kern w:val="0"/>
                <w:sz w:val="20"/>
                <w:szCs w:val="24"/>
                <w:lang/>
              </w:rPr>
              <w:t>法律意見、手工藝培訓及安全屋等，有關服務因應受害人需要而作出安排，所有費用由政府支付</w:t>
            </w:r>
            <w:r>
              <w:rPr>
                <w:rFonts w:hint="eastAsia" w:ascii="Times New Roman" w:hAnsi="Times New Roman" w:cs="Times New Roman"/>
                <w:spacing w:val="10"/>
                <w:kern w:val="0"/>
                <w:sz w:val="20"/>
                <w:szCs w:val="20"/>
                <w:lang/>
              </w:rPr>
              <w:t>。</w:t>
            </w:r>
          </w:p>
        </w:tc>
        <w:tc>
          <w:tcPr>
            <w:tcW w:w="1684" w:type="dxa"/>
            <w:vAlign w:val="center"/>
          </w:tcPr>
          <w:p>
            <w:pPr>
              <w:spacing w:line="240" w:lineRule="exact"/>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社工局</w:t>
            </w:r>
          </w:p>
          <w:p>
            <w:pPr>
              <w:spacing w:line="240" w:lineRule="exact"/>
              <w:jc w:val="center"/>
              <w:rPr>
                <w:rFonts w:ascii="Times New Roman" w:hAnsi="Times New Roman" w:cs="Times New Roman"/>
                <w:snapToGrid w:val="0"/>
                <w:spacing w:val="10"/>
                <w:kern w:val="0"/>
                <w:sz w:val="20"/>
                <w:szCs w:val="24"/>
                <w:lang/>
              </w:rPr>
            </w:pPr>
            <w:r>
              <w:rPr>
                <w:rFonts w:ascii="Times New Roman" w:hAnsi="Times New Roman" w:cs="Times New Roman"/>
                <w:snapToGrid w:val="0"/>
                <w:spacing w:val="10"/>
                <w:kern w:val="0"/>
                <w:sz w:val="20"/>
                <w:szCs w:val="24"/>
                <w:lang/>
              </w:rPr>
              <w:t>治安警察局</w:t>
            </w:r>
          </w:p>
          <w:p>
            <w:pPr>
              <w:spacing w:line="240" w:lineRule="exact"/>
              <w:jc w:val="center"/>
              <w:rPr>
                <w:rFonts w:ascii="Times New Roman" w:hAnsi="Times New Roman" w:cs="Times New Roman"/>
                <w:snapToGrid w:val="0"/>
                <w:spacing w:val="10"/>
                <w:kern w:val="0"/>
                <w:sz w:val="20"/>
                <w:szCs w:val="24"/>
                <w:lang/>
              </w:rPr>
            </w:pPr>
            <w:r>
              <w:rPr>
                <w:rFonts w:ascii="Times New Roman" w:hAnsi="Times New Roman" w:cs="Times New Roman"/>
                <w:snapToGrid w:val="0"/>
                <w:spacing w:val="10"/>
                <w:kern w:val="0"/>
                <w:sz w:val="20"/>
                <w:szCs w:val="24"/>
                <w:lang/>
              </w:rPr>
              <w:t>司警局</w:t>
            </w:r>
          </w:p>
          <w:p>
            <w:pPr>
              <w:jc w:val="center"/>
              <w:rPr>
                <w:rFonts w:ascii="Times New Roman" w:hAnsi="Times New Roman" w:cs="Times New Roman"/>
                <w:spacing w:val="10"/>
                <w:kern w:val="0"/>
                <w:sz w:val="20"/>
                <w:szCs w:val="24"/>
                <w:lang/>
              </w:rPr>
            </w:pPr>
            <w:r>
              <w:rPr>
                <w:rFonts w:ascii="Times New Roman" w:hAnsi="Times New Roman" w:cs="Times New Roman"/>
                <w:snapToGrid w:val="0"/>
                <w:spacing w:val="10"/>
                <w:kern w:val="0"/>
                <w:sz w:val="20"/>
                <w:szCs w:val="24"/>
                <w:lang/>
              </w:rPr>
              <w:t>衛生局</w:t>
            </w:r>
          </w:p>
        </w:tc>
        <w:tc>
          <w:tcPr>
            <w:tcW w:w="1568"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262" w:hRule="atLeast"/>
        </w:trPr>
        <w:tc>
          <w:tcPr>
            <w:tcW w:w="1483"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外籍受害人護送返回原居地及跟進</w:t>
            </w:r>
          </w:p>
        </w:tc>
        <w:tc>
          <w:tcPr>
            <w:tcW w:w="3561" w:type="dxa"/>
            <w:vAlign w:val="center"/>
          </w:tcPr>
          <w:p>
            <w:pPr>
              <w:jc w:val="both"/>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透過社工局與國際移民組織簽署的有關協議，外籍受害人可免費護送返回原居地，該項服務範圍包括風險評估、護送返回原居地及後續跟進報告</w:t>
            </w:r>
            <w:r>
              <w:rPr>
                <w:rFonts w:hint="eastAsia" w:ascii="Times New Roman" w:hAnsi="Times New Roman" w:cs="Times New Roman"/>
                <w:spacing w:val="10"/>
                <w:kern w:val="0"/>
                <w:sz w:val="20"/>
                <w:szCs w:val="20"/>
                <w:lang/>
              </w:rPr>
              <w:t>。</w:t>
            </w:r>
          </w:p>
        </w:tc>
        <w:tc>
          <w:tcPr>
            <w:tcW w:w="1684"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社工局</w:t>
            </w:r>
          </w:p>
        </w:tc>
        <w:tc>
          <w:tcPr>
            <w:tcW w:w="1568"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483"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中國內地受害人護送返回原居地及跟進</w:t>
            </w:r>
          </w:p>
        </w:tc>
        <w:tc>
          <w:tcPr>
            <w:tcW w:w="3561" w:type="dxa"/>
            <w:vAlign w:val="center"/>
          </w:tcPr>
          <w:p>
            <w:pPr>
              <w:jc w:val="both"/>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由澳門警方與中國公安部建立的合作框架，向中國內地受害人提供類似於外籍受害人護送返回原居地的服務</w:t>
            </w:r>
            <w:r>
              <w:rPr>
                <w:rFonts w:hint="eastAsia" w:ascii="Times New Roman" w:hAnsi="Times New Roman" w:cs="Times New Roman"/>
                <w:spacing w:val="10"/>
                <w:kern w:val="0"/>
                <w:sz w:val="20"/>
                <w:szCs w:val="20"/>
                <w:lang/>
              </w:rPr>
              <w:t>。</w:t>
            </w:r>
          </w:p>
        </w:tc>
        <w:tc>
          <w:tcPr>
            <w:tcW w:w="1684" w:type="dxa"/>
            <w:vAlign w:val="center"/>
          </w:tcPr>
          <w:p>
            <w:pPr>
              <w:spacing w:line="240" w:lineRule="exact"/>
              <w:jc w:val="center"/>
              <w:rPr>
                <w:rFonts w:ascii="Times New Roman" w:hAnsi="Times New Roman" w:cs="Times New Roman"/>
                <w:snapToGrid w:val="0"/>
                <w:spacing w:val="10"/>
                <w:kern w:val="0"/>
                <w:sz w:val="20"/>
                <w:szCs w:val="24"/>
                <w:lang/>
              </w:rPr>
            </w:pPr>
            <w:r>
              <w:rPr>
                <w:rFonts w:ascii="Times New Roman" w:hAnsi="Times New Roman" w:cs="Times New Roman"/>
                <w:snapToGrid w:val="0"/>
                <w:spacing w:val="10"/>
                <w:kern w:val="0"/>
                <w:sz w:val="20"/>
                <w:szCs w:val="24"/>
                <w:lang/>
              </w:rPr>
              <w:t>保安司司長辦公室</w:t>
            </w:r>
          </w:p>
          <w:p>
            <w:pPr>
              <w:spacing w:line="240" w:lineRule="exact"/>
              <w:jc w:val="center"/>
              <w:rPr>
                <w:rFonts w:ascii="Times New Roman" w:hAnsi="Times New Roman" w:cs="Times New Roman"/>
                <w:snapToGrid w:val="0"/>
                <w:spacing w:val="10"/>
                <w:kern w:val="0"/>
                <w:sz w:val="20"/>
                <w:szCs w:val="24"/>
                <w:lang/>
              </w:rPr>
            </w:pPr>
            <w:r>
              <w:rPr>
                <w:rFonts w:ascii="Times New Roman" w:hAnsi="Times New Roman" w:cs="Times New Roman"/>
                <w:snapToGrid w:val="0"/>
                <w:spacing w:val="10"/>
                <w:kern w:val="0"/>
                <w:sz w:val="20"/>
                <w:szCs w:val="24"/>
                <w:lang/>
              </w:rPr>
              <w:t>社工局</w:t>
            </w:r>
          </w:p>
          <w:p>
            <w:pPr>
              <w:spacing w:line="240" w:lineRule="exact"/>
              <w:jc w:val="center"/>
              <w:rPr>
                <w:rFonts w:ascii="Times New Roman" w:hAnsi="Times New Roman" w:cs="Times New Roman"/>
                <w:snapToGrid w:val="0"/>
                <w:spacing w:val="10"/>
                <w:kern w:val="0"/>
                <w:sz w:val="20"/>
                <w:szCs w:val="24"/>
                <w:lang/>
              </w:rPr>
            </w:pPr>
            <w:r>
              <w:rPr>
                <w:rFonts w:ascii="Times New Roman" w:hAnsi="Times New Roman" w:cs="Times New Roman"/>
                <w:snapToGrid w:val="0"/>
                <w:spacing w:val="10"/>
                <w:kern w:val="0"/>
                <w:sz w:val="20"/>
                <w:szCs w:val="24"/>
                <w:lang/>
              </w:rPr>
              <w:t>治安警察局</w:t>
            </w:r>
          </w:p>
          <w:p>
            <w:pPr>
              <w:jc w:val="center"/>
              <w:rPr>
                <w:rFonts w:ascii="Times New Roman" w:hAnsi="Times New Roman" w:cs="Times New Roman"/>
                <w:spacing w:val="10"/>
                <w:kern w:val="0"/>
                <w:sz w:val="20"/>
                <w:szCs w:val="24"/>
                <w:lang/>
              </w:rPr>
            </w:pPr>
            <w:r>
              <w:rPr>
                <w:rFonts w:ascii="Times New Roman" w:hAnsi="Times New Roman" w:cs="Times New Roman"/>
                <w:snapToGrid w:val="0"/>
                <w:spacing w:val="10"/>
                <w:kern w:val="0"/>
                <w:sz w:val="20"/>
                <w:szCs w:val="24"/>
                <w:lang/>
              </w:rPr>
              <w:t>司警局</w:t>
            </w:r>
          </w:p>
        </w:tc>
        <w:tc>
          <w:tcPr>
            <w:tcW w:w="1568"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進行中</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55" w:hRule="atLeast"/>
        </w:trPr>
        <w:tc>
          <w:tcPr>
            <w:tcW w:w="1483"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24小時受害人庇護所</w:t>
            </w:r>
          </w:p>
        </w:tc>
        <w:tc>
          <w:tcPr>
            <w:tcW w:w="3561" w:type="dxa"/>
            <w:vAlign w:val="center"/>
          </w:tcPr>
          <w:p>
            <w:pPr>
              <w:jc w:val="both"/>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為向受害人提供更好的庇護服務，社工局將設立新的收容所，透過與非政府組織合作，可優化有關設施及提供24小時的庇護服務</w:t>
            </w:r>
            <w:r>
              <w:rPr>
                <w:rFonts w:hint="eastAsia" w:ascii="Times New Roman" w:hAnsi="Times New Roman" w:cs="Times New Roman"/>
                <w:spacing w:val="10"/>
                <w:kern w:val="0"/>
                <w:sz w:val="20"/>
                <w:szCs w:val="24"/>
                <w:lang/>
              </w:rPr>
              <w:t>予販賣人口受害人</w:t>
            </w:r>
            <w:r>
              <w:rPr>
                <w:rFonts w:hint="eastAsia" w:ascii="Times New Roman" w:hAnsi="Times New Roman" w:cs="Times New Roman"/>
                <w:spacing w:val="10"/>
                <w:kern w:val="0"/>
                <w:sz w:val="20"/>
                <w:szCs w:val="20"/>
                <w:lang/>
              </w:rPr>
              <w:t>。</w:t>
            </w:r>
          </w:p>
        </w:tc>
        <w:tc>
          <w:tcPr>
            <w:tcW w:w="1684"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napToGrid w:val="0"/>
                <w:spacing w:val="10"/>
                <w:kern w:val="0"/>
                <w:sz w:val="20"/>
                <w:szCs w:val="24"/>
                <w:lang/>
              </w:rPr>
              <w:t>社工局</w:t>
            </w:r>
          </w:p>
        </w:tc>
        <w:tc>
          <w:tcPr>
            <w:tcW w:w="1568"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於2020年完成</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183" w:hRule="atLeast"/>
        </w:trPr>
        <w:tc>
          <w:tcPr>
            <w:tcW w:w="1483"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受害人庇護所服務培訓</w:t>
            </w:r>
          </w:p>
        </w:tc>
        <w:tc>
          <w:tcPr>
            <w:tcW w:w="3561" w:type="dxa"/>
            <w:vAlign w:val="center"/>
          </w:tcPr>
          <w:p>
            <w:pPr>
              <w:jc w:val="both"/>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邀請國際移民組織香港辦事處專家出任導師，向參與庇護服務的社工局人員提供培訓，持續提高參加者的知識、工作技能及化解衝突的能力</w:t>
            </w:r>
            <w:r>
              <w:rPr>
                <w:rFonts w:hint="eastAsia" w:ascii="Times New Roman" w:hAnsi="Times New Roman" w:cs="Times New Roman"/>
                <w:spacing w:val="10"/>
                <w:kern w:val="0"/>
                <w:sz w:val="20"/>
                <w:szCs w:val="20"/>
                <w:lang/>
              </w:rPr>
              <w:t>。</w:t>
            </w:r>
          </w:p>
        </w:tc>
        <w:tc>
          <w:tcPr>
            <w:tcW w:w="1684"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napToGrid w:val="0"/>
                <w:spacing w:val="10"/>
                <w:kern w:val="0"/>
                <w:sz w:val="20"/>
                <w:szCs w:val="24"/>
                <w:lang/>
              </w:rPr>
              <w:t>社工局</w:t>
            </w:r>
          </w:p>
        </w:tc>
        <w:tc>
          <w:tcPr>
            <w:tcW w:w="1568" w:type="dxa"/>
            <w:vAlign w:val="center"/>
          </w:tcPr>
          <w:p>
            <w:pPr>
              <w:jc w:val="center"/>
              <w:rPr>
                <w:rFonts w:ascii="Times New Roman" w:hAnsi="Times New Roman" w:cs="Times New Roman"/>
                <w:spacing w:val="10"/>
                <w:kern w:val="0"/>
                <w:sz w:val="20"/>
                <w:szCs w:val="24"/>
                <w:lang/>
              </w:rPr>
            </w:pPr>
            <w:r>
              <w:rPr>
                <w:rFonts w:hint="eastAsia" w:ascii="Times New Roman" w:hAnsi="Times New Roman" w:cs="Times New Roman"/>
                <w:spacing w:val="10"/>
                <w:kern w:val="0"/>
                <w:sz w:val="20"/>
                <w:szCs w:val="24"/>
                <w:lang/>
              </w:rPr>
              <w:t>於2</w:t>
            </w:r>
            <w:r>
              <w:rPr>
                <w:rFonts w:ascii="Times New Roman" w:hAnsi="Times New Roman" w:cs="Times New Roman"/>
                <w:spacing w:val="10"/>
                <w:kern w:val="0"/>
                <w:sz w:val="20"/>
                <w:szCs w:val="24"/>
                <w:lang/>
              </w:rPr>
              <w:t>019</w:t>
            </w:r>
            <w:r>
              <w:rPr>
                <w:rFonts w:hint="eastAsia" w:ascii="Times New Roman" w:hAnsi="Times New Roman" w:cs="Times New Roman"/>
                <w:spacing w:val="10"/>
                <w:kern w:val="0"/>
                <w:sz w:val="20"/>
                <w:szCs w:val="24"/>
                <w:lang/>
              </w:rPr>
              <w:t>年11月完成</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305" w:hRule="atLeast"/>
        </w:trPr>
        <w:tc>
          <w:tcPr>
            <w:tcW w:w="1483"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打擊販賣人口工作坊</w:t>
            </w:r>
          </w:p>
        </w:tc>
        <w:tc>
          <w:tcPr>
            <w:tcW w:w="3561" w:type="dxa"/>
            <w:vAlign w:val="center"/>
          </w:tcPr>
          <w:p>
            <w:pPr>
              <w:jc w:val="both"/>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由社工局及國際移民組織香港辦事處合辦的互動工作坊，對象包括政府部門及本地非政府組織前線人員，通過經驗分享及學習，以提高協作能力</w:t>
            </w:r>
            <w:r>
              <w:rPr>
                <w:rFonts w:hint="eastAsia" w:ascii="Times New Roman" w:hAnsi="Times New Roman" w:cs="Times New Roman"/>
                <w:spacing w:val="10"/>
                <w:kern w:val="0"/>
                <w:sz w:val="20"/>
                <w:szCs w:val="20"/>
                <w:lang/>
              </w:rPr>
              <w:t>。</w:t>
            </w:r>
          </w:p>
        </w:tc>
        <w:tc>
          <w:tcPr>
            <w:tcW w:w="1684"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napToGrid w:val="0"/>
                <w:spacing w:val="10"/>
                <w:kern w:val="0"/>
                <w:sz w:val="20"/>
                <w:szCs w:val="24"/>
                <w:lang/>
              </w:rPr>
              <w:t>社工局</w:t>
            </w:r>
          </w:p>
        </w:tc>
        <w:tc>
          <w:tcPr>
            <w:tcW w:w="1568"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305" w:hRule="atLeast"/>
        </w:trPr>
        <w:tc>
          <w:tcPr>
            <w:tcW w:w="1483" w:type="dxa"/>
            <w:vAlign w:val="center"/>
          </w:tcPr>
          <w:p>
            <w:pPr>
              <w:jc w:val="center"/>
              <w:rPr>
                <w:rFonts w:ascii="Times New Roman" w:hAnsi="Times New Roman" w:cs="Times New Roman"/>
                <w:spacing w:val="10"/>
                <w:kern w:val="0"/>
                <w:sz w:val="20"/>
                <w:szCs w:val="24"/>
                <w:lang/>
              </w:rPr>
            </w:pPr>
            <w:r>
              <w:rPr>
                <w:rFonts w:hint="eastAsia" w:ascii="Times New Roman" w:hAnsi="Times New Roman" w:cs="Times New Roman"/>
                <w:spacing w:val="10"/>
                <w:kern w:val="0"/>
                <w:sz w:val="20"/>
                <w:szCs w:val="24"/>
                <w:lang/>
              </w:rPr>
              <w:t>打擊販賣人口工作坊（實務工作講解會）</w:t>
            </w:r>
          </w:p>
        </w:tc>
        <w:tc>
          <w:tcPr>
            <w:tcW w:w="3561" w:type="dxa"/>
            <w:vAlign w:val="center"/>
          </w:tcPr>
          <w:p>
            <w:pPr>
              <w:jc w:val="both"/>
              <w:rPr>
                <w:rFonts w:ascii="Times New Roman" w:hAnsi="Times New Roman" w:cs="Times New Roman"/>
                <w:spacing w:val="10"/>
                <w:kern w:val="0"/>
                <w:sz w:val="20"/>
                <w:szCs w:val="24"/>
                <w:lang/>
              </w:rPr>
            </w:pPr>
            <w:r>
              <w:rPr>
                <w:rFonts w:hint="eastAsia" w:ascii="Times New Roman" w:hAnsi="Times New Roman" w:cs="Times New Roman"/>
                <w:spacing w:val="10"/>
                <w:kern w:val="0"/>
                <w:sz w:val="20"/>
                <w:szCs w:val="24"/>
                <w:lang/>
              </w:rPr>
              <w:t>社工局每年開辦實務工作講解會給前線人員，對象包括出勤人員及庇護院舍人員。</w:t>
            </w:r>
          </w:p>
        </w:tc>
        <w:tc>
          <w:tcPr>
            <w:tcW w:w="1684"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napToGrid w:val="0"/>
                <w:spacing w:val="10"/>
                <w:kern w:val="0"/>
                <w:sz w:val="20"/>
                <w:szCs w:val="24"/>
                <w:lang/>
              </w:rPr>
              <w:t>社工局</w:t>
            </w:r>
          </w:p>
        </w:tc>
        <w:tc>
          <w:tcPr>
            <w:tcW w:w="1568"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恆常</w:t>
            </w:r>
          </w:p>
        </w:tc>
      </w:tr>
    </w:tbl>
    <w:p>
      <w:pPr>
        <w:widowControl w:val="0"/>
        <w:spacing w:after="0" w:line="240" w:lineRule="auto"/>
        <w:rPr>
          <w:rFonts w:ascii="Times New Roman" w:hAnsi="Times New Roman" w:cs="Times New Roman"/>
          <w:b/>
          <w:spacing w:val="10"/>
          <w:sz w:val="24"/>
          <w:szCs w:val="24"/>
          <w:lang/>
        </w:rPr>
      </w:pPr>
    </w:p>
    <w:p>
      <w:pPr>
        <w:pStyle w:val="11"/>
        <w:widowControl w:val="0"/>
        <w:numPr>
          <w:ilvl w:val="0"/>
          <w:numId w:val="1"/>
        </w:numPr>
        <w:spacing w:after="180" w:afterLines="50" w:line="240" w:lineRule="auto"/>
        <w:ind w:left="388" w:hanging="388" w:hangingChars="149"/>
        <w:rPr>
          <w:rFonts w:ascii="Times New Roman" w:hAnsi="Times New Roman"/>
          <w:b/>
          <w:spacing w:val="10"/>
          <w:sz w:val="24"/>
          <w:szCs w:val="24"/>
          <w:lang/>
        </w:rPr>
      </w:pPr>
      <w:r>
        <w:rPr>
          <w:rFonts w:ascii="Times New Roman" w:hAnsi="Times New Roman"/>
          <w:b/>
          <w:spacing w:val="10"/>
          <w:sz w:val="24"/>
          <w:szCs w:val="24"/>
          <w:lang w:eastAsia="zh-TW"/>
        </w:rPr>
        <w:t>合作</w:t>
      </w:r>
      <w:r>
        <w:rPr>
          <w:rFonts w:hint="eastAsia" w:ascii="Times New Roman" w:hAnsi="Times New Roman"/>
          <w:b/>
          <w:spacing w:val="10"/>
          <w:sz w:val="24"/>
          <w:szCs w:val="24"/>
          <w:lang w:eastAsia="zh-TW"/>
        </w:rPr>
        <w:t>夥伴</w:t>
      </w:r>
    </w:p>
    <w:tbl>
      <w:tblPr>
        <w:tblStyle w:val="20"/>
        <w:tblW w:w="8296" w:type="dxa"/>
        <w:jc w:val="center"/>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1479"/>
        <w:gridCol w:w="3667"/>
        <w:gridCol w:w="1794"/>
        <w:gridCol w:w="1356"/>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668" w:hRule="atLeast"/>
          <w:tblHeader/>
          <w:jc w:val="center"/>
        </w:trPr>
        <w:tc>
          <w:tcPr>
            <w:tcW w:w="1479"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4"/>
                <w:lang/>
              </w:rPr>
            </w:pPr>
            <w:r>
              <w:rPr>
                <w:rFonts w:ascii="Times New Roman" w:hAnsi="Times New Roman" w:cs="Times New Roman"/>
                <w:b/>
                <w:spacing w:val="10"/>
                <w:kern w:val="0"/>
                <w:sz w:val="20"/>
                <w:szCs w:val="24"/>
                <w:lang/>
              </w:rPr>
              <w:t>項目</w:t>
            </w:r>
          </w:p>
        </w:tc>
        <w:tc>
          <w:tcPr>
            <w:tcW w:w="3667"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4"/>
                <w:lang/>
              </w:rPr>
            </w:pPr>
            <w:r>
              <w:rPr>
                <w:rFonts w:ascii="Times New Roman" w:hAnsi="Times New Roman" w:cs="Times New Roman"/>
                <w:b/>
                <w:spacing w:val="10"/>
                <w:kern w:val="0"/>
                <w:sz w:val="20"/>
                <w:szCs w:val="24"/>
                <w:lang/>
              </w:rPr>
              <w:t>描述</w:t>
            </w:r>
          </w:p>
        </w:tc>
        <w:tc>
          <w:tcPr>
            <w:tcW w:w="1794"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4"/>
                <w:lang/>
              </w:rPr>
            </w:pPr>
            <w:r>
              <w:rPr>
                <w:rFonts w:ascii="Times New Roman" w:hAnsi="Times New Roman" w:cs="Times New Roman"/>
                <w:b/>
                <w:spacing w:val="10"/>
                <w:kern w:val="0"/>
                <w:sz w:val="20"/>
                <w:szCs w:val="24"/>
                <w:lang/>
              </w:rPr>
              <w:t>執行部門</w:t>
            </w:r>
          </w:p>
        </w:tc>
        <w:tc>
          <w:tcPr>
            <w:tcW w:w="135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jc w:val="center"/>
              <w:rPr>
                <w:rFonts w:ascii="Times New Roman" w:hAnsi="Times New Roman" w:cs="Times New Roman"/>
                <w:b w:val="0"/>
                <w:spacing w:val="10"/>
                <w:kern w:val="0"/>
                <w:sz w:val="20"/>
                <w:szCs w:val="24"/>
                <w:lang/>
              </w:rPr>
            </w:pPr>
            <w:r>
              <w:rPr>
                <w:rFonts w:ascii="Times New Roman" w:hAnsi="Times New Roman" w:cs="Times New Roman"/>
                <w:b/>
                <w:spacing w:val="10"/>
                <w:kern w:val="0"/>
                <w:sz w:val="20"/>
                <w:szCs w:val="24"/>
                <w:lang/>
              </w:rPr>
              <w:t>時間表</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729" w:hRule="atLeast"/>
        </w:trPr>
        <w:tc>
          <w:tcPr>
            <w:tcW w:w="1479"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非政府組織</w:t>
            </w:r>
          </w:p>
        </w:tc>
        <w:tc>
          <w:tcPr>
            <w:tcW w:w="3667" w:type="dxa"/>
            <w:vAlign w:val="center"/>
          </w:tcPr>
          <w:p>
            <w:pPr>
              <w:jc w:val="both"/>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透過政府部門與非政府組織建立合作關係，共同為預防及打擊販賣人口作出貢獻，較常合作的單位包括中華全國婦女聯合會、善牧中心、澳門婦女聯合總會、澳門明愛及不同界別的代表團體</w:t>
            </w:r>
          </w:p>
        </w:tc>
        <w:tc>
          <w:tcPr>
            <w:tcW w:w="1794" w:type="dxa"/>
            <w:vAlign w:val="center"/>
          </w:tcPr>
          <w:p>
            <w:pPr>
              <w:spacing w:line="240" w:lineRule="exact"/>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阻嚇販賣人口措施關注委員會</w:t>
            </w:r>
          </w:p>
          <w:p>
            <w:pPr>
              <w:spacing w:line="240" w:lineRule="exact"/>
              <w:jc w:val="center"/>
              <w:rPr>
                <w:rFonts w:ascii="Times New Roman" w:hAnsi="Times New Roman" w:cs="Times New Roman"/>
                <w:spacing w:val="10"/>
                <w:kern w:val="0"/>
                <w:sz w:val="20"/>
                <w:szCs w:val="24"/>
                <w:lang/>
              </w:rPr>
            </w:pPr>
            <w:r>
              <w:rPr>
                <w:rFonts w:ascii="Times New Roman" w:hAnsi="Times New Roman" w:cs="Times New Roman"/>
                <w:snapToGrid w:val="0"/>
                <w:spacing w:val="10"/>
                <w:kern w:val="0"/>
                <w:sz w:val="20"/>
                <w:szCs w:val="24"/>
                <w:lang/>
              </w:rPr>
              <w:t>勞工局</w:t>
            </w:r>
          </w:p>
          <w:p>
            <w:pPr>
              <w:spacing w:line="240" w:lineRule="exact"/>
              <w:jc w:val="center"/>
              <w:rPr>
                <w:rFonts w:ascii="Times New Roman" w:hAnsi="Times New Roman" w:cs="Times New Roman"/>
                <w:snapToGrid w:val="0"/>
                <w:spacing w:val="10"/>
                <w:kern w:val="0"/>
                <w:sz w:val="20"/>
                <w:szCs w:val="24"/>
                <w:lang/>
              </w:rPr>
            </w:pPr>
            <w:r>
              <w:rPr>
                <w:rFonts w:ascii="Times New Roman" w:hAnsi="Times New Roman" w:cs="Times New Roman"/>
                <w:snapToGrid w:val="0"/>
                <w:spacing w:val="10"/>
                <w:kern w:val="0"/>
                <w:sz w:val="20"/>
                <w:szCs w:val="24"/>
                <w:lang/>
              </w:rPr>
              <w:t>社工局</w:t>
            </w:r>
          </w:p>
          <w:p>
            <w:pPr>
              <w:spacing w:line="240" w:lineRule="exact"/>
              <w:jc w:val="center"/>
              <w:rPr>
                <w:rFonts w:ascii="Times New Roman" w:hAnsi="Times New Roman" w:cs="Times New Roman"/>
                <w:snapToGrid w:val="0"/>
                <w:spacing w:val="10"/>
                <w:kern w:val="0"/>
                <w:sz w:val="20"/>
                <w:szCs w:val="24"/>
                <w:lang/>
              </w:rPr>
            </w:pPr>
            <w:r>
              <w:rPr>
                <w:rFonts w:ascii="Times New Roman" w:hAnsi="Times New Roman" w:cs="Times New Roman"/>
                <w:snapToGrid w:val="0"/>
                <w:spacing w:val="10"/>
                <w:kern w:val="0"/>
                <w:sz w:val="20"/>
                <w:szCs w:val="24"/>
                <w:lang/>
              </w:rPr>
              <w:t>治安警察局</w:t>
            </w:r>
          </w:p>
          <w:p>
            <w:pPr>
              <w:jc w:val="center"/>
              <w:rPr>
                <w:rFonts w:ascii="Times New Roman" w:hAnsi="Times New Roman" w:cs="Times New Roman"/>
                <w:spacing w:val="10"/>
                <w:kern w:val="0"/>
                <w:sz w:val="20"/>
                <w:szCs w:val="24"/>
                <w:lang/>
              </w:rPr>
            </w:pPr>
            <w:r>
              <w:rPr>
                <w:rFonts w:ascii="Times New Roman" w:hAnsi="Times New Roman" w:cs="Times New Roman"/>
                <w:snapToGrid w:val="0"/>
                <w:spacing w:val="10"/>
                <w:kern w:val="0"/>
                <w:sz w:val="20"/>
                <w:szCs w:val="24"/>
                <w:lang/>
              </w:rPr>
              <w:t>司警局</w:t>
            </w:r>
          </w:p>
        </w:tc>
        <w:tc>
          <w:tcPr>
            <w:tcW w:w="1356"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374" w:hRule="atLeast"/>
        </w:trPr>
        <w:tc>
          <w:tcPr>
            <w:tcW w:w="1479"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各國駐香港及澳門總領事館</w:t>
            </w:r>
          </w:p>
        </w:tc>
        <w:tc>
          <w:tcPr>
            <w:tcW w:w="3667" w:type="dxa"/>
            <w:vAlign w:val="center"/>
          </w:tcPr>
          <w:p>
            <w:pPr>
              <w:jc w:val="both"/>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應不同總領事館的邀請，為外籍工人舉辦研討會及講座，並作為與有關總領事館保持溝通的最重要渠道，以及降低外籍工人被勞動剝削的風險</w:t>
            </w:r>
          </w:p>
        </w:tc>
        <w:tc>
          <w:tcPr>
            <w:tcW w:w="1794"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napToGrid w:val="0"/>
                <w:spacing w:val="10"/>
                <w:kern w:val="0"/>
                <w:sz w:val="20"/>
                <w:szCs w:val="24"/>
                <w:lang/>
              </w:rPr>
              <w:t>勞工局</w:t>
            </w:r>
          </w:p>
        </w:tc>
        <w:tc>
          <w:tcPr>
            <w:tcW w:w="1356"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恆常</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Ex>
        <w:trPr>
          <w:trHeight w:val="1021" w:hRule="atLeast"/>
        </w:trPr>
        <w:tc>
          <w:tcPr>
            <w:tcW w:w="1479"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國際組織</w:t>
            </w:r>
          </w:p>
        </w:tc>
        <w:tc>
          <w:tcPr>
            <w:tcW w:w="3667" w:type="dxa"/>
            <w:vAlign w:val="center"/>
          </w:tcPr>
          <w:p>
            <w:pPr>
              <w:jc w:val="both"/>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為緊隨打擊販賣人口事務的最新情勢，澳門特區政府投入大量資源保持與海外</w:t>
            </w:r>
            <w:r>
              <w:rPr>
                <w:rFonts w:hint="eastAsia" w:ascii="Times New Roman" w:hAnsi="Times New Roman" w:cs="Times New Roman"/>
                <w:spacing w:val="10"/>
                <w:kern w:val="0"/>
                <w:sz w:val="20"/>
                <w:szCs w:val="24"/>
                <w:lang/>
              </w:rPr>
              <w:t>夥伴</w:t>
            </w:r>
            <w:r>
              <w:rPr>
                <w:rFonts w:ascii="Times New Roman" w:hAnsi="Times New Roman" w:cs="Times New Roman"/>
                <w:spacing w:val="10"/>
                <w:kern w:val="0"/>
                <w:sz w:val="20"/>
                <w:szCs w:val="24"/>
                <w:lang/>
              </w:rPr>
              <w:t>的溝通，確保政府嚴格履行國際公約</w:t>
            </w:r>
            <w:r>
              <w:rPr>
                <w:rFonts w:hint="eastAsia" w:ascii="Times New Roman" w:hAnsi="Times New Roman" w:cs="Times New Roman"/>
                <w:spacing w:val="10"/>
                <w:kern w:val="0"/>
                <w:sz w:val="20"/>
                <w:szCs w:val="24"/>
                <w:lang/>
              </w:rPr>
              <w:t>和條約</w:t>
            </w:r>
            <w:r>
              <w:rPr>
                <w:rFonts w:ascii="Times New Roman" w:hAnsi="Times New Roman" w:cs="Times New Roman"/>
                <w:spacing w:val="10"/>
                <w:kern w:val="0"/>
                <w:sz w:val="20"/>
                <w:szCs w:val="24"/>
                <w:lang/>
              </w:rPr>
              <w:t>，合作單位</w:t>
            </w:r>
            <w:r>
              <w:rPr>
                <w:rFonts w:hint="eastAsia" w:ascii="Times New Roman" w:hAnsi="Times New Roman" w:cs="Times New Roman"/>
                <w:spacing w:val="10"/>
                <w:kern w:val="0"/>
                <w:sz w:val="20"/>
                <w:szCs w:val="24"/>
                <w:lang/>
              </w:rPr>
              <w:t>尤其</w:t>
            </w:r>
            <w:r>
              <w:rPr>
                <w:rFonts w:ascii="Times New Roman" w:hAnsi="Times New Roman" w:cs="Times New Roman"/>
                <w:spacing w:val="10"/>
                <w:kern w:val="0"/>
                <w:sz w:val="20"/>
                <w:szCs w:val="24"/>
                <w:lang/>
              </w:rPr>
              <w:t>包括聯合國、國際勞工組織、國際移民組織、</w:t>
            </w:r>
            <w:r>
              <w:rPr>
                <w:rFonts w:hint="eastAsia" w:ascii="Times New Roman" w:hAnsi="Times New Roman" w:cs="Times New Roman"/>
                <w:spacing w:val="10"/>
                <w:kern w:val="0"/>
                <w:sz w:val="20"/>
                <w:szCs w:val="24"/>
                <w:lang/>
              </w:rPr>
              <w:t>國際刑警組織、</w:t>
            </w:r>
            <w:r>
              <w:rPr>
                <w:rFonts w:ascii="Times New Roman" w:hAnsi="Times New Roman" w:cs="Times New Roman"/>
                <w:spacing w:val="10"/>
                <w:kern w:val="0"/>
                <w:sz w:val="20"/>
                <w:szCs w:val="24"/>
                <w:lang/>
              </w:rPr>
              <w:t>峇里進程等等</w:t>
            </w:r>
          </w:p>
        </w:tc>
        <w:tc>
          <w:tcPr>
            <w:tcW w:w="1794" w:type="dxa"/>
            <w:vAlign w:val="center"/>
          </w:tcPr>
          <w:p>
            <w:pPr>
              <w:spacing w:line="240" w:lineRule="exact"/>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阻嚇販賣人口措施關注委員會</w:t>
            </w:r>
          </w:p>
          <w:p>
            <w:pPr>
              <w:spacing w:line="240" w:lineRule="exact"/>
              <w:jc w:val="center"/>
              <w:rPr>
                <w:rFonts w:ascii="Times New Roman" w:hAnsi="Times New Roman" w:cs="Times New Roman"/>
                <w:spacing w:val="10"/>
                <w:kern w:val="0"/>
                <w:sz w:val="20"/>
                <w:szCs w:val="24"/>
                <w:lang/>
              </w:rPr>
            </w:pPr>
            <w:r>
              <w:rPr>
                <w:rFonts w:ascii="Times New Roman" w:hAnsi="Times New Roman" w:cs="Times New Roman"/>
                <w:snapToGrid w:val="0"/>
                <w:spacing w:val="10"/>
                <w:kern w:val="0"/>
                <w:sz w:val="20"/>
                <w:szCs w:val="24"/>
                <w:lang/>
              </w:rPr>
              <w:t>法務局</w:t>
            </w:r>
          </w:p>
          <w:p>
            <w:pPr>
              <w:spacing w:line="240" w:lineRule="exact"/>
              <w:jc w:val="center"/>
              <w:rPr>
                <w:rFonts w:ascii="Times New Roman" w:hAnsi="Times New Roman" w:cs="Times New Roman"/>
                <w:spacing w:val="10"/>
                <w:kern w:val="0"/>
                <w:sz w:val="20"/>
                <w:szCs w:val="24"/>
                <w:lang/>
              </w:rPr>
            </w:pPr>
            <w:r>
              <w:rPr>
                <w:rFonts w:ascii="Times New Roman" w:hAnsi="Times New Roman" w:cs="Times New Roman"/>
                <w:snapToGrid w:val="0"/>
                <w:spacing w:val="10"/>
                <w:kern w:val="0"/>
                <w:sz w:val="20"/>
                <w:szCs w:val="24"/>
                <w:lang/>
              </w:rPr>
              <w:t>勞工局</w:t>
            </w:r>
          </w:p>
          <w:p>
            <w:pPr>
              <w:jc w:val="center"/>
              <w:rPr>
                <w:rFonts w:ascii="Times New Roman" w:hAnsi="Times New Roman" w:cs="Times New Roman"/>
                <w:spacing w:val="10"/>
                <w:kern w:val="0"/>
                <w:sz w:val="20"/>
                <w:szCs w:val="24"/>
                <w:lang/>
              </w:rPr>
            </w:pPr>
            <w:r>
              <w:rPr>
                <w:rFonts w:ascii="Times New Roman" w:hAnsi="Times New Roman" w:cs="Times New Roman"/>
                <w:snapToGrid w:val="0"/>
                <w:spacing w:val="10"/>
                <w:kern w:val="0"/>
                <w:sz w:val="20"/>
                <w:szCs w:val="24"/>
                <w:lang/>
              </w:rPr>
              <w:t>司警局</w:t>
            </w:r>
          </w:p>
        </w:tc>
        <w:tc>
          <w:tcPr>
            <w:tcW w:w="1356" w:type="dxa"/>
            <w:vAlign w:val="center"/>
          </w:tcPr>
          <w:p>
            <w:pPr>
              <w:jc w:val="center"/>
              <w:rPr>
                <w:rFonts w:ascii="Times New Roman" w:hAnsi="Times New Roman" w:cs="Times New Roman"/>
                <w:spacing w:val="10"/>
                <w:kern w:val="0"/>
                <w:sz w:val="20"/>
                <w:szCs w:val="24"/>
                <w:lang/>
              </w:rPr>
            </w:pPr>
            <w:r>
              <w:rPr>
                <w:rFonts w:ascii="Times New Roman" w:hAnsi="Times New Roman" w:cs="Times New Roman"/>
                <w:spacing w:val="10"/>
                <w:kern w:val="0"/>
                <w:sz w:val="20"/>
                <w:szCs w:val="24"/>
                <w:lang/>
              </w:rPr>
              <w:t>恆常</w:t>
            </w:r>
          </w:p>
        </w:tc>
      </w:tr>
    </w:tbl>
    <w:p>
      <w:pPr>
        <w:rPr>
          <w:rFonts w:ascii="Times New Roman" w:hAnsi="Times New Roman" w:cs="Times New Roman"/>
          <w:spacing w:val="10"/>
          <w:sz w:val="24"/>
          <w:szCs w:val="24"/>
          <w:lang/>
        </w:rPr>
      </w:pPr>
    </w:p>
    <w:p>
      <w:pPr>
        <w:rPr>
          <w:rFonts w:ascii="Times New Roman" w:hAnsi="Times New Roman" w:cs="Times New Roman"/>
          <w:spacing w:val="10"/>
          <w:sz w:val="24"/>
          <w:szCs w:val="24"/>
          <w:lang/>
        </w:rPr>
      </w:pPr>
    </w:p>
    <w:p>
      <w:pPr>
        <w:rPr>
          <w:rFonts w:ascii="Times New Roman" w:hAnsi="Times New Roman" w:cs="Times New Roman"/>
          <w:spacing w:val="10"/>
          <w:sz w:val="24"/>
          <w:szCs w:val="24"/>
          <w:lang/>
        </w:rPr>
      </w:pPr>
    </w:p>
    <w:sectPr>
      <w:footerReference r:id="rId4" w:type="default"/>
      <w:pgSz w:w="11906" w:h="16838"/>
      <w:pgMar w:top="1440" w:right="1800" w:bottom="1440" w:left="1800" w:header="851" w:footer="992"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Calibri Light">
    <w:panose1 w:val="020F0302020204030204"/>
    <w:charset w:val="00"/>
    <w:family w:val="auto"/>
    <w:pitch w:val="default"/>
    <w:sig w:usb0="A00002EF" w:usb1="4000207B" w:usb2="00000000" w:usb3="00000000" w:csb0="2000019F" w:csb1="0000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jc w:val="right"/>
    </w:pPr>
    <w:r>
      <w:fldChar w:fldCharType="begin"/>
    </w:r>
    <w:r>
      <w:instrText xml:space="preserve">PAGE   \* MERGEFORMAT</w:instrText>
    </w:r>
    <w:r>
      <w:fldChar w:fldCharType="separate"/>
    </w:r>
    <w:r>
      <w:rPr>
        <w:lang w:val="zh-TW"/>
      </w:rPr>
      <w:t>1</w:t>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898931055">
    <w:nsid w:val="712F636F"/>
    <w:multiLevelType w:val="multilevel"/>
    <w:tmpl w:val="712F636F"/>
    <w:lvl w:ilvl="0" w:tentative="1">
      <w:start w:val="1"/>
      <w:numFmt w:val="decimal"/>
      <w:lvlText w:val="%1."/>
      <w:lvlJc w:val="left"/>
      <w:pPr>
        <w:ind w:left="360" w:hanging="360"/>
      </w:pPr>
      <w:rPr>
        <w:rFonts w:hint="default"/>
        <w:sz w:val="24"/>
        <w:szCs w:val="24"/>
      </w:rPr>
    </w:lvl>
    <w:lvl w:ilvl="1" w:tentative="1">
      <w:start w:val="1"/>
      <w:numFmt w:val="ideographTraditional"/>
      <w:lvlText w:val="%2、"/>
      <w:lvlJc w:val="left"/>
      <w:pPr>
        <w:ind w:left="960" w:hanging="480"/>
      </w:p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ideographTraditional"/>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ideographTraditional"/>
      <w:lvlText w:val="%8、"/>
      <w:lvlJc w:val="left"/>
      <w:pPr>
        <w:ind w:left="3840" w:hanging="480"/>
      </w:pPr>
    </w:lvl>
    <w:lvl w:ilvl="8" w:tentative="1">
      <w:start w:val="1"/>
      <w:numFmt w:val="lowerRoman"/>
      <w:lvlText w:val="%9."/>
      <w:lvlJc w:val="right"/>
      <w:pPr>
        <w:ind w:left="4320" w:hanging="480"/>
      </w:pPr>
    </w:lvl>
  </w:abstractNum>
  <w:num w:numId="1">
    <w:abstractNumId w:val="18989310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A3A55"/>
    <w:rsid w:val="000344AA"/>
    <w:rsid w:val="00063C18"/>
    <w:rsid w:val="00223969"/>
    <w:rsid w:val="002445D9"/>
    <w:rsid w:val="002E7F04"/>
    <w:rsid w:val="00304AC4"/>
    <w:rsid w:val="00314624"/>
    <w:rsid w:val="00365B14"/>
    <w:rsid w:val="003B68AC"/>
    <w:rsid w:val="00403B51"/>
    <w:rsid w:val="004207CC"/>
    <w:rsid w:val="00433E96"/>
    <w:rsid w:val="004600BB"/>
    <w:rsid w:val="0046534A"/>
    <w:rsid w:val="0050636E"/>
    <w:rsid w:val="0067206A"/>
    <w:rsid w:val="006F4078"/>
    <w:rsid w:val="007B733A"/>
    <w:rsid w:val="007C032E"/>
    <w:rsid w:val="00861AAD"/>
    <w:rsid w:val="00903C75"/>
    <w:rsid w:val="009A7DE3"/>
    <w:rsid w:val="00D2739C"/>
    <w:rsid w:val="00D868C0"/>
    <w:rsid w:val="00D8788F"/>
    <w:rsid w:val="00DA3A55"/>
    <w:rsid w:val="00ED45D3"/>
    <w:rsid w:val="00ED5488"/>
    <w:rsid w:val="00F90A11"/>
    <w:rsid w:val="00FA0CD6"/>
    <w:rsid w:val="67717233"/>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99"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kern w:val="0"/>
      <w:sz w:val="22"/>
      <w:szCs w:val="22"/>
      <w:lang w:eastAsia="zh-TW" w:bidi="ar-SA"/>
    </w:rPr>
  </w:style>
  <w:style w:type="paragraph" w:styleId="2">
    <w:name w:val="heading 1"/>
    <w:basedOn w:val="1"/>
    <w:link w:val="16"/>
    <w:qFormat/>
    <w:uiPriority w:val="9"/>
    <w:pPr>
      <w:ind w:right="425"/>
      <w:outlineLvl w:val="0"/>
    </w:pPr>
    <w:rPr>
      <w:rFonts w:ascii="Times New Roman" w:hAnsi="Times New Roman" w:cs="Times New Roman"/>
      <w:b/>
      <w:sz w:val="24"/>
      <w:szCs w:val="24"/>
    </w:rPr>
  </w:style>
  <w:style w:type="character" w:default="1" w:styleId="8">
    <w:name w:val="Default Paragraph Font"/>
    <w:unhideWhenUsed/>
    <w:uiPriority w:val="1"/>
  </w:style>
  <w:style w:type="table" w:default="1" w:styleId="10">
    <w:name w:val="Normal Table"/>
    <w:unhideWhenUsed/>
    <w:uiPriority w:val="99"/>
    <w:tblPr>
      <w:tblStyle w:val="10"/>
      <w:tblLayout w:type="fixed"/>
      <w:tblCellMar>
        <w:top w:w="0" w:type="dxa"/>
        <w:left w:w="108" w:type="dxa"/>
        <w:bottom w:w="0" w:type="dxa"/>
        <w:right w:w="108" w:type="dxa"/>
      </w:tblCellMar>
    </w:tblPr>
    <w:tcPr>
      <w:textDirection w:val="lrTb"/>
    </w:tcPr>
  </w:style>
  <w:style w:type="paragraph" w:styleId="3">
    <w:name w:val="annotation subject"/>
    <w:basedOn w:val="4"/>
    <w:next w:val="4"/>
    <w:link w:val="18"/>
    <w:unhideWhenUsed/>
    <w:uiPriority w:val="99"/>
    <w:rPr>
      <w:b/>
      <w:bCs/>
    </w:rPr>
  </w:style>
  <w:style w:type="paragraph" w:styleId="4">
    <w:name w:val="annotation text"/>
    <w:basedOn w:val="1"/>
    <w:link w:val="17"/>
    <w:unhideWhenUsed/>
    <w:uiPriority w:val="99"/>
  </w:style>
  <w:style w:type="paragraph" w:styleId="5">
    <w:name w:val="Balloon Text"/>
    <w:basedOn w:val="1"/>
    <w:link w:val="19"/>
    <w:unhideWhenUsed/>
    <w:uiPriority w:val="99"/>
    <w:pPr>
      <w:spacing w:after="0" w:line="240" w:lineRule="auto"/>
    </w:pPr>
    <w:rPr>
      <w:rFonts w:ascii="Calibri Light" w:hAnsi="Calibri Light"/>
      <w:sz w:val="18"/>
      <w:szCs w:val="18"/>
    </w:rPr>
  </w:style>
  <w:style w:type="paragraph" w:styleId="6">
    <w:name w:val="footer"/>
    <w:basedOn w:val="1"/>
    <w:link w:val="15"/>
    <w:unhideWhenUsed/>
    <w:uiPriority w:val="99"/>
    <w:pPr>
      <w:tabs>
        <w:tab w:val="center" w:pos="4153"/>
        <w:tab w:val="right" w:pos="8306"/>
      </w:tabs>
      <w:snapToGrid w:val="0"/>
    </w:pPr>
    <w:rPr>
      <w:sz w:val="20"/>
      <w:szCs w:val="20"/>
    </w:rPr>
  </w:style>
  <w:style w:type="paragraph" w:styleId="7">
    <w:name w:val="header"/>
    <w:basedOn w:val="1"/>
    <w:link w:val="14"/>
    <w:unhideWhenUsed/>
    <w:uiPriority w:val="99"/>
    <w:pPr>
      <w:tabs>
        <w:tab w:val="center" w:pos="4153"/>
        <w:tab w:val="right" w:pos="8306"/>
      </w:tabs>
      <w:snapToGrid w:val="0"/>
    </w:pPr>
    <w:rPr>
      <w:sz w:val="20"/>
      <w:szCs w:val="20"/>
    </w:rPr>
  </w:style>
  <w:style w:type="character" w:styleId="9">
    <w:name w:val="annotation reference"/>
    <w:basedOn w:val="8"/>
    <w:unhideWhenUsed/>
    <w:uiPriority w:val="99"/>
    <w:rPr>
      <w:sz w:val="18"/>
      <w:szCs w:val="18"/>
    </w:rPr>
  </w:style>
  <w:style w:type="paragraph" w:customStyle="1" w:styleId="11">
    <w:name w:val="List Paragraph"/>
    <w:basedOn w:val="1"/>
    <w:link w:val="12"/>
    <w:qFormat/>
    <w:uiPriority w:val="34"/>
    <w:pPr>
      <w:spacing w:after="120" w:line="360" w:lineRule="exact"/>
      <w:ind w:left="720"/>
      <w:contextualSpacing/>
    </w:pPr>
    <w:rPr>
      <w:rFonts w:ascii="Calibri" w:hAnsi="Calibri" w:eastAsia="PMingLiU" w:cs="Times New Roman"/>
      <w:lang w:eastAsia="en-US"/>
    </w:rPr>
  </w:style>
  <w:style w:type="character" w:customStyle="1" w:styleId="12">
    <w:name w:val="清單段落 字元"/>
    <w:link w:val="11"/>
    <w:qFormat/>
    <w:locked/>
    <w:uiPriority w:val="34"/>
    <w:rPr>
      <w:rFonts w:ascii="Calibri" w:hAnsi="Calibri" w:eastAsia="PMingLiU" w:cs="Times New Roman"/>
      <w:kern w:val="0"/>
      <w:sz w:val="22"/>
      <w:lang w:eastAsia="en-US"/>
    </w:rPr>
  </w:style>
  <w:style w:type="character" w:customStyle="1" w:styleId="13">
    <w:name w:val="tlid-translation"/>
    <w:basedOn w:val="8"/>
    <w:uiPriority w:val="0"/>
    <w:rPr/>
  </w:style>
  <w:style w:type="character" w:customStyle="1" w:styleId="14">
    <w:name w:val="頁首 字元"/>
    <w:basedOn w:val="8"/>
    <w:link w:val="7"/>
    <w:uiPriority w:val="99"/>
    <w:rPr>
      <w:kern w:val="0"/>
      <w:sz w:val="20"/>
      <w:szCs w:val="20"/>
      <w:lang/>
    </w:rPr>
  </w:style>
  <w:style w:type="character" w:customStyle="1" w:styleId="15">
    <w:name w:val="頁尾 字元"/>
    <w:basedOn w:val="8"/>
    <w:link w:val="6"/>
    <w:uiPriority w:val="99"/>
    <w:rPr>
      <w:kern w:val="0"/>
      <w:sz w:val="20"/>
      <w:szCs w:val="20"/>
      <w:lang/>
    </w:rPr>
  </w:style>
  <w:style w:type="character" w:customStyle="1" w:styleId="16">
    <w:name w:val="標題 1 字元"/>
    <w:basedOn w:val="8"/>
    <w:link w:val="2"/>
    <w:uiPriority w:val="9"/>
    <w:rPr>
      <w:rFonts w:ascii="Times New Roman" w:hAnsi="Times New Roman" w:cs="Times New Roman"/>
      <w:b/>
      <w:kern w:val="0"/>
      <w:szCs w:val="24"/>
      <w:lang/>
    </w:rPr>
  </w:style>
  <w:style w:type="character" w:customStyle="1" w:styleId="17">
    <w:name w:val="註解文字 字元"/>
    <w:basedOn w:val="8"/>
    <w:link w:val="4"/>
    <w:semiHidden/>
    <w:uiPriority w:val="99"/>
    <w:rPr>
      <w:kern w:val="0"/>
      <w:sz w:val="22"/>
      <w:lang/>
    </w:rPr>
  </w:style>
  <w:style w:type="character" w:customStyle="1" w:styleId="18">
    <w:name w:val="註解主旨 字元"/>
    <w:basedOn w:val="17"/>
    <w:link w:val="3"/>
    <w:semiHidden/>
    <w:uiPriority w:val="99"/>
    <w:rPr>
      <w:b/>
      <w:bCs/>
      <w:kern w:val="0"/>
      <w:sz w:val="22"/>
      <w:lang/>
    </w:rPr>
  </w:style>
  <w:style w:type="character" w:customStyle="1" w:styleId="19">
    <w:name w:val="註解方塊文字 字元"/>
    <w:basedOn w:val="8"/>
    <w:link w:val="5"/>
    <w:semiHidden/>
    <w:uiPriority w:val="99"/>
    <w:rPr>
      <w:rFonts w:ascii="Calibri Light" w:hAnsi="Calibri Light"/>
      <w:kern w:val="0"/>
      <w:sz w:val="18"/>
      <w:szCs w:val="18"/>
      <w:lang/>
    </w:rPr>
  </w:style>
  <w:style w:type="table" w:customStyle="1" w:styleId="20">
    <w:name w:val="人權報告(中文版)"/>
    <w:basedOn w:val="10"/>
    <w:uiPriority w:val="99"/>
    <w:pPr/>
    <w:rPr>
      <w:kern w:val="0"/>
      <w:sz w:val="20"/>
      <w:lang/>
    </w:rPr>
    <w:tblPr>
      <w:tblStyle w:val="10"/>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Pr>
    <w:tcPr>
      <w:textDirection w:val="lrTb"/>
    </w:tcPr>
    <w:tblStylePr w:type="firstRow">
      <w:rPr>
        <w:b/>
      </w:rPr>
      <w:tblPr>
        <w:tblStyle w:val="10"/>
        <w:jc w:val="center"/>
        <w:tblLayout w:type="fixed"/>
      </w:tblPr>
      <w:trPr>
        <w:jc w:val="center"/>
      </w:tr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extDirection w:val="lrTb"/>
      </w:tcPr>
    </w:tblStylePr>
    <w:tblStylePr w:type="lastRow">
      <w:rPr>
        <w:b/>
      </w:rPr>
      <w:tblPr>
        <w:tblStyle w:val="10"/>
        <w:tblLayout w:type="fixed"/>
      </w:tbl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extDirection w:val="lrTb"/>
      </w:tcPr>
    </w:tblStyle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523</Words>
  <Characters>2987</Characters>
  <Lines>24</Lines>
  <Paragraphs>7</Paragraphs>
  <TotalTime>0</TotalTime>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2024-10-24T06:03:00Z</dcterms:created>
  <dc:creator>Doris, Wong Kio Chan</dc:creator>
  <cp:lastModifiedBy>ShiYongRen</cp:lastModifiedBy>
  <dcterms:modified xsi:type="dcterms:W3CDTF">2025-01-17T19:49:54Z</dcterms:modified>
  <dc:title>按照《禁止酷刑和其他殘忍、不人道或有辱人格的待遇或處罰公約》第十九條規定提交的第三次定期報告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